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png" ContentType="image/png"/>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color w:val="auto"/>
        </w:rPr>
      </w:pPr>
      <w:r>
        <w:rPr>
          <w:color w:val="auto"/>
        </w:rPr>
      </w:r>
    </w:p>
    <w:p>
      <w:pPr>
        <w:pStyle w:val="Normal"/>
        <w:spacing w:lineRule="auto" w:line="360"/>
        <w:jc w:val="center"/>
        <w:rPr>
          <w:color w:val="auto"/>
        </w:rPr>
      </w:pPr>
      <w:r>
        <w:rPr>
          <w:rFonts w:eastAsia="Arial" w:cs="Arial" w:ascii="Arial" w:hAnsi="Arial"/>
          <w:b/>
          <w:color w:val="auto"/>
          <w:sz w:val="22"/>
          <w:szCs w:val="22"/>
        </w:rPr>
        <w:t>PROCESSO LICITATÓRIO Nº 021/2024</w:t>
      </w:r>
    </w:p>
    <w:p>
      <w:pPr>
        <w:pStyle w:val="Normal"/>
        <w:spacing w:lineRule="auto" w:line="360"/>
        <w:jc w:val="center"/>
        <w:rPr>
          <w:color w:val="auto"/>
        </w:rPr>
      </w:pPr>
      <w:r>
        <w:rPr>
          <w:rFonts w:eastAsia="Arial" w:cs="Arial" w:ascii="Arial" w:hAnsi="Arial"/>
          <w:b/>
          <w:color w:val="auto"/>
          <w:sz w:val="22"/>
          <w:szCs w:val="22"/>
        </w:rPr>
        <w:t>PREGÃO ELETRÔNICO Nº 009</w:t>
      </w:r>
      <w:r>
        <w:rPr>
          <w:rFonts w:eastAsia="Arial" w:cs="Arial" w:ascii="Arial" w:hAnsi="Arial"/>
          <w:color w:val="auto"/>
          <w:sz w:val="22"/>
          <w:szCs w:val="22"/>
        </w:rPr>
        <w:t xml:space="preserve"> </w:t>
      </w:r>
      <w:r>
        <w:rPr>
          <w:rFonts w:eastAsia="Arial" w:cs="Arial" w:ascii="Arial" w:hAnsi="Arial"/>
          <w:b/>
          <w:color w:val="auto"/>
          <w:sz w:val="22"/>
          <w:szCs w:val="22"/>
        </w:rPr>
        <w:t>/2024</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color w:val="auto"/>
          <w:sz w:val="22"/>
          <w:szCs w:val="22"/>
        </w:rPr>
        <w:t>REGIDO PELA LEI N° 14.133/2021, LEI COMPLEMENTAR nº 123/06 E DECRETO MUNICIPAL Nº 030/2024, e SUBSIDIARIAMENTE O DECRETO FEDERAL Nº 10.024/2019.</w:t>
      </w:r>
    </w:p>
    <w:p>
      <w:pPr>
        <w:pStyle w:val="Normal"/>
        <w:tabs>
          <w:tab w:val="clear" w:pos="720"/>
          <w:tab w:val="center" w:pos="4252"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rPr>
        <w:t xml:space="preserve">OBJETO: </w:t>
      </w:r>
      <w:r>
        <w:rPr>
          <w:rFonts w:eastAsia="Arial" w:cs="Arial" w:ascii="Arial" w:hAnsi="Arial"/>
          <w:b/>
          <w:color w:val="auto"/>
          <w:sz w:val="22"/>
          <w:szCs w:val="22"/>
          <w:highlight w:val="white"/>
          <w:u w:val="single"/>
        </w:rPr>
        <w:t>REGISTRO DE PREÇOS PARA FUTURA E EVENTUAL AQUISIÇÃO DE OXIGÊNIO MEDICINAL E CILINDROS, COM REGIME DE COMODATO DE CILINDROS, PARA ATENDER AS DEMANDAS DA SECRETARIA DE SAÚDE DO MUNICÍPIO DE ARAÇUAI - MG.</w:t>
      </w:r>
    </w:p>
    <w:p>
      <w:pPr>
        <w:pStyle w:val="Normal"/>
        <w:spacing w:lineRule="auto" w:line="360"/>
        <w:jc w:val="both"/>
        <w:rPr>
          <w:rFonts w:ascii="Arial" w:hAnsi="Arial" w:eastAsia="Arial" w:cs="Arial"/>
          <w:b/>
          <w:b/>
          <w:color w:val="auto"/>
          <w:sz w:val="22"/>
          <w:szCs w:val="22"/>
          <w:u w:val="single"/>
        </w:rPr>
      </w:pPr>
      <w:r>
        <w:rPr>
          <w:rFonts w:eastAsia="Arial" w:cs="Arial" w:ascii="Arial" w:hAnsi="Arial"/>
          <w:b/>
          <w:color w:val="auto"/>
          <w:sz w:val="22"/>
          <w:szCs w:val="22"/>
          <w:u w:val="single"/>
        </w:rPr>
      </w:r>
    </w:p>
    <w:p>
      <w:pPr>
        <w:pStyle w:val="Normal"/>
        <w:spacing w:lineRule="auto" w:line="360"/>
        <w:jc w:val="both"/>
        <w:rPr>
          <w:color w:val="auto"/>
        </w:rPr>
      </w:pPr>
      <w:r>
        <w:rPr>
          <w:rFonts w:eastAsia="Arial" w:cs="Arial" w:ascii="Arial" w:hAnsi="Arial"/>
          <w:b/>
          <w:color w:val="auto"/>
          <w:sz w:val="22"/>
          <w:szCs w:val="22"/>
          <w:u w:val="single"/>
        </w:rPr>
        <w:t>INTERESSADO:</w:t>
      </w:r>
      <w:r>
        <w:rPr>
          <w:rFonts w:eastAsia="Arial" w:cs="Arial" w:ascii="Arial" w:hAnsi="Arial"/>
          <w:b/>
          <w:color w:val="auto"/>
          <w:sz w:val="22"/>
          <w:szCs w:val="22"/>
        </w:rPr>
        <w:t xml:space="preserve"> </w:t>
      </w:r>
      <w:r>
        <w:rPr>
          <w:rFonts w:eastAsia="Arial" w:cs="Arial" w:ascii="Arial" w:hAnsi="Arial"/>
          <w:color w:val="auto"/>
          <w:sz w:val="22"/>
          <w:szCs w:val="22"/>
        </w:rPr>
        <w:t>UNIDADE GESTORA DA LICITAÇÃO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white"/>
          <w:u w:val="single"/>
        </w:rPr>
        <w:t>DATA DE ABERTURA DE PROPOSTAS</w:t>
      </w:r>
      <w:r>
        <w:rPr>
          <w:rFonts w:eastAsia="Arial" w:cs="Arial" w:ascii="Arial" w:hAnsi="Arial"/>
          <w:b/>
          <w:color w:val="auto"/>
          <w:sz w:val="22"/>
          <w:szCs w:val="22"/>
          <w:highlight w:val="white"/>
        </w:rPr>
        <w:t xml:space="preserve">: </w:t>
      </w:r>
      <w:r>
        <w:rPr>
          <w:rFonts w:eastAsia="Arial" w:cs="Arial" w:ascii="Arial" w:hAnsi="Arial"/>
          <w:b w:val="false"/>
          <w:bCs w:val="false"/>
          <w:color w:val="auto"/>
          <w:sz w:val="22"/>
          <w:szCs w:val="22"/>
          <w:highlight w:val="white"/>
        </w:rPr>
        <w:t>22</w:t>
      </w:r>
      <w:r>
        <w:rPr>
          <w:rFonts w:eastAsia="Arial" w:cs="Arial" w:ascii="Arial" w:hAnsi="Arial"/>
          <w:color w:val="auto"/>
          <w:sz w:val="22"/>
          <w:szCs w:val="22"/>
        </w:rPr>
        <w:t xml:space="preserve"> DE MAIO DE 2024</w:t>
      </w:r>
    </w:p>
    <w:p>
      <w:pPr>
        <w:pStyle w:val="Normal"/>
        <w:spacing w:lineRule="auto" w:line="360"/>
        <w:jc w:val="both"/>
        <w:rPr>
          <w:rFonts w:ascii="Arial" w:hAnsi="Arial" w:eastAsia="Arial" w:cs="Arial"/>
          <w:color w:val="auto"/>
          <w:sz w:val="22"/>
          <w:szCs w:val="22"/>
          <w:highlight w:val="white"/>
        </w:rPr>
      </w:pPr>
      <w:r>
        <w:rPr>
          <w:rFonts w:eastAsia="Arial" w:cs="Arial" w:ascii="Arial" w:hAnsi="Arial"/>
          <w:color w:val="auto"/>
          <w:sz w:val="22"/>
          <w:szCs w:val="22"/>
          <w:highlight w:val="white"/>
        </w:rPr>
      </w:r>
    </w:p>
    <w:p>
      <w:pPr>
        <w:pStyle w:val="Normal"/>
        <w:spacing w:lineRule="auto" w:line="360"/>
        <w:jc w:val="both"/>
        <w:rPr>
          <w:color w:val="auto"/>
        </w:rPr>
      </w:pPr>
      <w:r>
        <w:rPr>
          <w:rFonts w:eastAsia="Arial" w:cs="Arial" w:ascii="Arial" w:hAnsi="Arial"/>
          <w:b/>
          <w:color w:val="auto"/>
          <w:sz w:val="22"/>
          <w:szCs w:val="22"/>
          <w:highlight w:val="white"/>
          <w:u w:val="single"/>
        </w:rPr>
        <w:t>RECEBIMENTO DE PROPOSTAS</w:t>
      </w:r>
      <w:r>
        <w:rPr>
          <w:rFonts w:eastAsia="Arial" w:cs="Arial" w:ascii="Arial" w:hAnsi="Arial"/>
          <w:color w:val="auto"/>
          <w:sz w:val="22"/>
          <w:szCs w:val="22"/>
          <w:highlight w:val="white"/>
        </w:rPr>
        <w:t xml:space="preserve">: ATÉ AS </w:t>
      </w:r>
      <w:r>
        <w:rPr>
          <w:rFonts w:eastAsia="Arial" w:cs="Arial" w:ascii="Arial" w:hAnsi="Arial"/>
          <w:color w:val="auto"/>
          <w:sz w:val="22"/>
          <w:szCs w:val="22"/>
        </w:rPr>
        <w:t>08:30 HORAS DE 22/05/2024</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u w:val="single"/>
        </w:rPr>
        <w:t>ABERTURA DAS PROPOSTAS:</w:t>
      </w:r>
      <w:r>
        <w:rPr>
          <w:rFonts w:eastAsia="Arial" w:cs="Arial" w:ascii="Arial" w:hAnsi="Arial"/>
          <w:b/>
          <w:color w:val="auto"/>
          <w:sz w:val="22"/>
          <w:szCs w:val="22"/>
        </w:rPr>
        <w:t xml:space="preserve"> 09:00 HORAS</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u w:val="single"/>
        </w:rPr>
        <w:t>REFERÊNCIA DE TEMPO:</w:t>
      </w:r>
      <w:r>
        <w:rPr>
          <w:rFonts w:eastAsia="Arial" w:cs="Arial" w:ascii="Arial" w:hAnsi="Arial"/>
          <w:b/>
          <w:color w:val="auto"/>
          <w:sz w:val="22"/>
          <w:szCs w:val="22"/>
        </w:rPr>
        <w:t xml:space="preserve"> </w:t>
      </w:r>
      <w:r>
        <w:rPr>
          <w:rFonts w:eastAsia="Arial" w:cs="Arial" w:ascii="Arial" w:hAnsi="Arial"/>
          <w:color w:val="auto"/>
          <w:sz w:val="22"/>
          <w:szCs w:val="22"/>
        </w:rPr>
        <w:t>Horário de Brasília.</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widowControl w:val="false"/>
        <w:spacing w:lineRule="auto" w:line="360"/>
        <w:jc w:val="both"/>
        <w:rPr/>
      </w:pPr>
      <w:r>
        <w:rPr>
          <w:rFonts w:eastAsia="Arial" w:cs="Arial" w:ascii="Arial" w:hAnsi="Arial"/>
          <w:b/>
          <w:color w:val="auto"/>
          <w:sz w:val="22"/>
          <w:szCs w:val="22"/>
          <w:u w:val="single"/>
        </w:rPr>
        <w:t xml:space="preserve">LOCAL DA SESSÃO PÚBLICA: </w:t>
      </w:r>
      <w:r>
        <w:rPr>
          <w:rFonts w:eastAsia="Arial" w:cs="Arial" w:ascii="Arial" w:hAnsi="Arial"/>
          <w:color w:val="auto"/>
          <w:sz w:val="22"/>
          <w:szCs w:val="22"/>
        </w:rPr>
        <w:t xml:space="preserve">PLATAFORMA DE LICITAÇÕES LICITAR DIGITAL – </w:t>
      </w:r>
      <w:hyperlink r:id="rId2">
        <w:r>
          <w:rPr>
            <w:rStyle w:val="LinkdaInternet"/>
            <w:rFonts w:eastAsia="Arial" w:cs="Arial" w:ascii="Arial" w:hAnsi="Arial"/>
            <w:color w:val="auto"/>
            <w:sz w:val="22"/>
            <w:szCs w:val="22"/>
          </w:rPr>
          <w:t>www.licitardigital.com.br</w:t>
        </w:r>
      </w:hyperlink>
    </w:p>
    <w:p>
      <w:pPr>
        <w:pStyle w:val="Normal"/>
        <w:widowControl w:val="false"/>
        <w:spacing w:lineRule="auto" w:line="360"/>
        <w:jc w:val="both"/>
        <w:rPr>
          <w:rFonts w:ascii="Arial" w:hAnsi="Arial" w:eastAsia="Arial" w:cs="Arial"/>
          <w:color w:val="auto"/>
          <w:sz w:val="22"/>
          <w:szCs w:val="22"/>
          <w:u w:val="single"/>
        </w:rPr>
      </w:pPr>
      <w:r>
        <w:rPr>
          <w:rFonts w:eastAsia="Arial" w:cs="Arial" w:ascii="Arial" w:hAnsi="Arial"/>
          <w:color w:val="auto"/>
          <w:sz w:val="22"/>
          <w:szCs w:val="22"/>
          <w:u w:val="single"/>
        </w:rPr>
      </w:r>
    </w:p>
    <w:p>
      <w:pPr>
        <w:pStyle w:val="Normal"/>
        <w:widowControl w:val="false"/>
        <w:spacing w:lineRule="auto" w:line="360"/>
        <w:jc w:val="both"/>
        <w:rPr>
          <w:color w:val="auto"/>
        </w:rPr>
      </w:pPr>
      <w:r>
        <w:rPr>
          <w:rFonts w:eastAsia="Arial" w:cs="Arial" w:ascii="Arial" w:hAnsi="Arial"/>
          <w:b/>
          <w:color w:val="auto"/>
          <w:sz w:val="22"/>
          <w:szCs w:val="22"/>
          <w:u w:val="single"/>
        </w:rPr>
        <w:t>PREGOEIRO(A) OFICIAL</w:t>
      </w:r>
      <w:r>
        <w:rPr>
          <w:rFonts w:eastAsia="Arial" w:cs="Arial" w:ascii="Arial" w:hAnsi="Arial"/>
          <w:color w:val="auto"/>
          <w:sz w:val="22"/>
          <w:szCs w:val="22"/>
        </w:rPr>
        <w:t xml:space="preserve">. </w:t>
      </w:r>
      <w:r>
        <w:rPr>
          <w:rFonts w:eastAsia="Arial" w:cs="Arial" w:ascii="Century Gothic" w:hAnsi="Century Gothic"/>
          <w:color w:val="auto"/>
          <w:sz w:val="22"/>
          <w:szCs w:val="22"/>
        </w:rPr>
        <w:t>TACONY RAMOS COSTA</w:t>
      </w:r>
    </w:p>
    <w:p>
      <w:pPr>
        <w:pStyle w:val="Normal"/>
        <w:widowControl w:val="false"/>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widowControl w:val="false"/>
        <w:spacing w:lineRule="auto" w:line="360"/>
        <w:jc w:val="both"/>
        <w:rPr>
          <w:color w:val="auto"/>
        </w:rPr>
      </w:pPr>
      <w:r>
        <w:rPr>
          <w:rFonts w:eastAsia="Arial" w:cs="Arial" w:ascii="Arial" w:hAnsi="Arial"/>
          <w:b/>
          <w:color w:val="auto"/>
          <w:sz w:val="22"/>
          <w:szCs w:val="22"/>
          <w:u w:val="single"/>
        </w:rPr>
        <w:t>TIPO:</w:t>
      </w:r>
      <w:r>
        <w:rPr>
          <w:rFonts w:eastAsia="Arial" w:cs="Arial" w:ascii="Arial" w:hAnsi="Arial"/>
          <w:b/>
          <w:color w:val="auto"/>
          <w:sz w:val="22"/>
          <w:szCs w:val="22"/>
        </w:rPr>
        <w:t xml:space="preserve"> </w:t>
      </w:r>
      <w:r>
        <w:rPr>
          <w:rFonts w:eastAsia="Arial" w:cs="Arial" w:ascii="Arial" w:hAnsi="Arial"/>
          <w:color w:val="auto"/>
          <w:sz w:val="22"/>
          <w:szCs w:val="22"/>
        </w:rPr>
        <w:t xml:space="preserve">MENOR PREÇO </w:t>
      </w:r>
    </w:p>
    <w:p>
      <w:pPr>
        <w:pStyle w:val="Normal"/>
        <w:widowControl w:val="false"/>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widowControl w:val="false"/>
        <w:spacing w:lineRule="auto" w:line="360"/>
        <w:jc w:val="both"/>
        <w:rPr>
          <w:color w:val="auto"/>
        </w:rPr>
      </w:pPr>
      <w:r>
        <w:rPr>
          <w:rFonts w:eastAsia="Arial" w:cs="Arial" w:ascii="Arial" w:hAnsi="Arial"/>
          <w:b/>
          <w:color w:val="auto"/>
          <w:sz w:val="22"/>
          <w:szCs w:val="22"/>
          <w:u w:val="single"/>
        </w:rPr>
        <w:t>MODO DE DISPUTA</w:t>
      </w:r>
      <w:r>
        <w:rPr>
          <w:rFonts w:eastAsia="Arial" w:cs="Arial" w:ascii="Arial" w:hAnsi="Arial"/>
          <w:color w:val="auto"/>
          <w:sz w:val="22"/>
          <w:szCs w:val="22"/>
        </w:rPr>
        <w:t>: ABERTO</w:t>
      </w:r>
    </w:p>
    <w:p>
      <w:pPr>
        <w:pStyle w:val="Normal"/>
        <w:widowControl w:val="false"/>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pPr>
      <w:r>
        <w:rPr>
          <w:rFonts w:eastAsia="Arial" w:cs="Arial" w:ascii="Arial" w:hAnsi="Arial"/>
          <w:b/>
          <w:color w:val="auto"/>
          <w:sz w:val="22"/>
          <w:szCs w:val="22"/>
          <w:u w:val="single"/>
        </w:rPr>
        <w:t>ESCLARECIMENTOS</w:t>
      </w:r>
      <w:r>
        <w:rPr>
          <w:rFonts w:eastAsia="Arial" w:cs="Arial" w:ascii="Arial" w:hAnsi="Arial"/>
          <w:b/>
          <w:color w:val="auto"/>
          <w:sz w:val="22"/>
          <w:szCs w:val="22"/>
        </w:rPr>
        <w:t xml:space="preserve">: </w:t>
      </w:r>
      <w:r>
        <w:rPr>
          <w:rFonts w:eastAsia="Arial" w:cs="Arial" w:ascii="Arial" w:hAnsi="Arial"/>
          <w:color w:val="auto"/>
          <w:sz w:val="22"/>
          <w:szCs w:val="22"/>
        </w:rPr>
        <w:t xml:space="preserve">Diretamente pela plataforma de licitações – </w:t>
      </w:r>
      <w:hyperlink r:id="rId3">
        <w:r>
          <w:rPr>
            <w:rFonts w:eastAsia="Arial" w:cs="Arial" w:ascii="Arial" w:hAnsi="Arial"/>
            <w:color w:val="auto"/>
            <w:sz w:val="22"/>
            <w:szCs w:val="22"/>
            <w:u w:val="single"/>
          </w:rPr>
          <w:t>www.licitardigital.com.br</w:t>
        </w:r>
      </w:hyperlink>
      <w:r>
        <w:rPr>
          <w:rFonts w:eastAsia="Arial" w:cs="Arial" w:ascii="Arial" w:hAnsi="Arial"/>
          <w:color w:val="auto"/>
          <w:sz w:val="22"/>
          <w:szCs w:val="22"/>
        </w:rPr>
        <w:t xml:space="preserve"> &gt; edital PE 009/2024, ou por meio eletrônico: licitação@aracuai.mg.gov.br.</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Ttulo1"/>
        <w:spacing w:lineRule="auto" w:line="360" w:before="0" w:after="0"/>
        <w:jc w:val="center"/>
        <w:rPr>
          <w:color w:val="auto"/>
        </w:rPr>
      </w:pPr>
      <w:r>
        <w:rPr>
          <w:rFonts w:cs="Arial"/>
          <w:color w:val="auto"/>
          <w:sz w:val="22"/>
          <w:szCs w:val="22"/>
        </w:rPr>
        <w:t>EDITAL DE LICITAÇÃO – NORMAS</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rPr>
        <w:t>PROCESSO LICITATÓRIO Nº 021/2024</w:t>
      </w:r>
    </w:p>
    <w:p>
      <w:pPr>
        <w:pStyle w:val="Normal"/>
        <w:spacing w:lineRule="auto" w:line="360"/>
        <w:jc w:val="both"/>
        <w:rPr>
          <w:color w:val="auto"/>
        </w:rPr>
      </w:pPr>
      <w:r>
        <w:rPr>
          <w:rFonts w:eastAsia="Arial" w:cs="Arial" w:ascii="Arial" w:hAnsi="Arial"/>
          <w:b/>
          <w:color w:val="auto"/>
          <w:sz w:val="22"/>
          <w:szCs w:val="22"/>
        </w:rPr>
        <w:t>PREGÃO ELETRÔNICO Nº 009/2024</w:t>
      </w:r>
    </w:p>
    <w:p>
      <w:pPr>
        <w:pStyle w:val="Normal"/>
        <w:spacing w:lineRule="auto" w:line="360"/>
        <w:jc w:val="both"/>
        <w:rPr>
          <w:color w:val="auto"/>
        </w:rPr>
      </w:pPr>
      <w:r>
        <w:rPr>
          <w:rFonts w:eastAsia="Arial" w:cs="Arial" w:ascii="Arial" w:hAnsi="Arial"/>
          <w:b/>
          <w:color w:val="auto"/>
          <w:sz w:val="22"/>
          <w:szCs w:val="22"/>
        </w:rPr>
        <w:t>TIPO: MENOR PREÇO</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1 – PREÂMBULO</w:t>
      </w:r>
    </w:p>
    <w:p>
      <w:pPr>
        <w:pStyle w:val="Normal"/>
        <w:tabs>
          <w:tab w:val="clear" w:pos="720"/>
          <w:tab w:val="left" w:pos="3135" w:leader="none"/>
        </w:tabs>
        <w:spacing w:lineRule="auto" w:line="360"/>
        <w:jc w:val="both"/>
        <w:rPr/>
      </w:pPr>
      <w:r>
        <w:rPr>
          <w:rFonts w:eastAsia="Arial" w:cs="Arial" w:ascii="Arial" w:hAnsi="Arial"/>
          <w:b/>
          <w:color w:val="auto"/>
          <w:sz w:val="22"/>
          <w:szCs w:val="22"/>
        </w:rPr>
        <w:t>1.1.</w:t>
      </w:r>
      <w:r>
        <w:rPr>
          <w:rFonts w:eastAsia="Arial" w:cs="Arial" w:ascii="Arial" w:hAnsi="Arial"/>
          <w:color w:val="auto"/>
          <w:sz w:val="22"/>
          <w:szCs w:val="22"/>
        </w:rPr>
        <w:t xml:space="preserve"> A </w:t>
      </w:r>
      <w:r>
        <w:rPr>
          <w:rFonts w:eastAsia="Arial" w:cs="Arial" w:ascii="Arial" w:hAnsi="Arial"/>
          <w:b/>
          <w:color w:val="auto"/>
          <w:sz w:val="22"/>
          <w:szCs w:val="22"/>
        </w:rPr>
        <w:t>PREFEITURA MUNICIPAL DE ARAÇUAÍ-MG</w:t>
      </w:r>
      <w:r>
        <w:rPr>
          <w:rFonts w:eastAsia="Arial" w:cs="Arial" w:ascii="Arial" w:hAnsi="Arial"/>
          <w:color w:val="auto"/>
          <w:sz w:val="22"/>
          <w:szCs w:val="22"/>
        </w:rPr>
        <w:t xml:space="preserve">, por intermédio do(a) Pregoeiro(a), realizará a Licitação na </w:t>
      </w:r>
      <w:r>
        <w:rPr>
          <w:rFonts w:eastAsia="Arial" w:cs="Arial" w:ascii="Arial" w:hAnsi="Arial"/>
          <w:b/>
          <w:color w:val="auto"/>
          <w:sz w:val="22"/>
          <w:szCs w:val="22"/>
        </w:rPr>
        <w:t>Modalidade Pregão, na Forma Eletrônica</w:t>
      </w:r>
      <w:r>
        <w:rPr>
          <w:rFonts w:eastAsia="Arial" w:cs="Arial" w:ascii="Arial" w:hAnsi="Arial"/>
          <w:color w:val="auto"/>
          <w:sz w:val="22"/>
          <w:szCs w:val="22"/>
        </w:rPr>
        <w:t xml:space="preserve">, em sessão pública a ser realizada na </w:t>
      </w:r>
      <w:r>
        <w:rPr>
          <w:rFonts w:eastAsia="Arial" w:cs="Arial" w:ascii="Arial" w:hAnsi="Arial"/>
          <w:b/>
          <w:color w:val="auto"/>
          <w:sz w:val="22"/>
          <w:szCs w:val="22"/>
        </w:rPr>
        <w:t>Plataforma de Licitações Licitar Digital (</w:t>
      </w:r>
      <w:hyperlink r:id="rId4">
        <w:r>
          <w:rPr>
            <w:rFonts w:eastAsia="Arial" w:cs="Arial" w:ascii="Arial" w:hAnsi="Arial"/>
            <w:b/>
            <w:color w:val="auto"/>
            <w:sz w:val="22"/>
            <w:szCs w:val="22"/>
            <w:u w:val="single"/>
          </w:rPr>
          <w:t>www.licitardigital.com.br</w:t>
        </w:r>
      </w:hyperlink>
      <w:r>
        <w:rPr>
          <w:rFonts w:eastAsia="Arial" w:cs="Arial" w:ascii="Arial" w:hAnsi="Arial"/>
          <w:b/>
          <w:color w:val="auto"/>
          <w:sz w:val="22"/>
          <w:szCs w:val="22"/>
        </w:rPr>
        <w:t>) a qual</w:t>
      </w:r>
      <w:r>
        <w:rPr>
          <w:rFonts w:eastAsia="Arial" w:cs="Arial" w:ascii="Arial" w:hAnsi="Arial"/>
          <w:color w:val="auto"/>
          <w:sz w:val="22"/>
          <w:szCs w:val="22"/>
        </w:rPr>
        <w:t xml:space="preserve">, conforme especificado no </w:t>
      </w:r>
      <w:hyperlink w:anchor="_heading=h.4d34og8">
        <w:r>
          <w:rPr>
            <w:rFonts w:eastAsia="Arial" w:cs="Arial" w:ascii="Arial" w:hAnsi="Arial"/>
            <w:b/>
            <w:color w:val="auto"/>
            <w:sz w:val="22"/>
            <w:szCs w:val="22"/>
            <w:u w:val="single"/>
          </w:rPr>
          <w:t>ANEXO I</w:t>
        </w:r>
      </w:hyperlink>
      <w:r>
        <w:rPr>
          <w:rFonts w:eastAsia="Arial" w:cs="Arial" w:ascii="Arial" w:hAnsi="Arial"/>
          <w:color w:val="auto"/>
          <w:sz w:val="22"/>
          <w:szCs w:val="22"/>
        </w:rPr>
        <w:t xml:space="preserve"> deste edital.</w:t>
      </w:r>
    </w:p>
    <w:p>
      <w:pPr>
        <w:pStyle w:val="Normal"/>
        <w:tabs>
          <w:tab w:val="clear" w:pos="720"/>
          <w:tab w:val="left" w:pos="3135"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1.2</w:t>
      </w:r>
      <w:r>
        <w:rPr>
          <w:rFonts w:eastAsia="Arial" w:cs="Arial" w:ascii="Arial" w:hAnsi="Arial"/>
          <w:color w:val="auto"/>
          <w:sz w:val="22"/>
          <w:szCs w:val="22"/>
        </w:rPr>
        <w:t xml:space="preserve"> - Os trabalhos serão conduzidos pela Sra. Lorena Luiz Moura, Pregoeira oficial e pela Equipe de Apoio, designada pela Portaria </w:t>
      </w:r>
      <w:r>
        <w:rPr>
          <w:rFonts w:eastAsia="Arial" w:cs="Arial" w:ascii="Arial" w:hAnsi="Arial"/>
          <w:b/>
          <w:color w:val="auto"/>
          <w:sz w:val="22"/>
          <w:szCs w:val="22"/>
        </w:rPr>
        <w:t>n° 130/2024,</w:t>
      </w:r>
      <w:r>
        <w:rPr>
          <w:rFonts w:eastAsia="Arial" w:cs="Arial" w:ascii="Arial" w:hAnsi="Arial"/>
          <w:color w:val="auto"/>
          <w:sz w:val="22"/>
          <w:szCs w:val="22"/>
        </w:rPr>
        <w:t xml:space="preserve"> anexada aos autos do procedimento e regido pelas </w:t>
      </w:r>
      <w:r>
        <w:rPr>
          <w:rFonts w:eastAsia="Arial" w:cs="Arial" w:ascii="Arial" w:hAnsi="Arial"/>
          <w:b/>
          <w:color w:val="auto"/>
          <w:sz w:val="22"/>
          <w:szCs w:val="22"/>
        </w:rPr>
        <w:t>Leis nº 14.133/21</w:t>
      </w:r>
      <w:r>
        <w:rPr>
          <w:rFonts w:eastAsia="Arial" w:cs="Arial" w:ascii="Arial" w:hAnsi="Arial"/>
          <w:color w:val="auto"/>
          <w:sz w:val="22"/>
          <w:szCs w:val="22"/>
        </w:rPr>
        <w:t xml:space="preserve">, </w:t>
      </w:r>
      <w:r>
        <w:rPr>
          <w:rFonts w:eastAsia="Arial" w:cs="Arial" w:ascii="Arial" w:hAnsi="Arial"/>
          <w:b/>
          <w:color w:val="auto"/>
          <w:sz w:val="22"/>
          <w:szCs w:val="22"/>
        </w:rPr>
        <w:t>Lei</w:t>
      </w:r>
      <w:r>
        <w:rPr>
          <w:rFonts w:eastAsia="Arial" w:cs="Arial" w:ascii="Arial" w:hAnsi="Arial"/>
          <w:color w:val="auto"/>
          <w:sz w:val="22"/>
          <w:szCs w:val="22"/>
        </w:rPr>
        <w:t xml:space="preserve"> </w:t>
      </w:r>
      <w:r>
        <w:rPr>
          <w:rFonts w:eastAsia="Arial" w:cs="Arial" w:ascii="Arial" w:hAnsi="Arial"/>
          <w:b/>
          <w:color w:val="auto"/>
          <w:sz w:val="22"/>
          <w:szCs w:val="22"/>
        </w:rPr>
        <w:t>Complementar n° 123/06</w:t>
      </w:r>
      <w:r>
        <w:rPr>
          <w:rFonts w:eastAsia="Arial" w:cs="Arial" w:ascii="Arial" w:hAnsi="Arial"/>
          <w:color w:val="auto"/>
          <w:sz w:val="22"/>
          <w:szCs w:val="22"/>
        </w:rPr>
        <w:t xml:space="preserve">, </w:t>
      </w:r>
      <w:r>
        <w:rPr>
          <w:rFonts w:eastAsia="Arial" w:cs="Arial" w:ascii="Arial" w:hAnsi="Arial"/>
          <w:b/>
          <w:color w:val="auto"/>
          <w:sz w:val="22"/>
          <w:szCs w:val="22"/>
        </w:rPr>
        <w:t>Decreto Municipal nº 030/2024</w:t>
      </w:r>
      <w:r>
        <w:rPr>
          <w:rFonts w:eastAsia="Arial" w:cs="Arial" w:ascii="Arial" w:hAnsi="Arial"/>
          <w:color w:val="auto"/>
          <w:sz w:val="22"/>
          <w:szCs w:val="22"/>
        </w:rPr>
        <w:t xml:space="preserve"> e, subsidiariamente pelo </w:t>
      </w:r>
      <w:r>
        <w:rPr>
          <w:rFonts w:eastAsia="Arial" w:cs="Arial" w:ascii="Arial" w:hAnsi="Arial"/>
          <w:b/>
          <w:color w:val="auto"/>
          <w:sz w:val="22"/>
          <w:szCs w:val="22"/>
        </w:rPr>
        <w:t>Decreto Federal nº 10.024/2019</w:t>
      </w:r>
      <w:r>
        <w:rPr>
          <w:rFonts w:eastAsia="Arial" w:cs="Arial" w:ascii="Arial" w:hAnsi="Arial"/>
          <w:color w:val="auto"/>
          <w:sz w:val="22"/>
          <w:szCs w:val="22"/>
        </w:rPr>
        <w:t>, demais normas pertinentes e pelas condições estabelecidas pelo presente Edital.</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pPr>
      <w:r>
        <w:rPr>
          <w:rFonts w:eastAsia="Arial" w:cs="Arial" w:ascii="Arial" w:hAnsi="Arial"/>
          <w:b/>
          <w:color w:val="auto"/>
          <w:sz w:val="22"/>
          <w:szCs w:val="22"/>
        </w:rPr>
        <w:t>1.3</w:t>
      </w:r>
      <w:r>
        <w:rPr>
          <w:rFonts w:eastAsia="Arial" w:cs="Arial" w:ascii="Arial" w:hAnsi="Arial"/>
          <w:color w:val="auto"/>
          <w:sz w:val="22"/>
          <w:szCs w:val="22"/>
        </w:rPr>
        <w:t xml:space="preserve"> - O Edital e seus Anexos poderão ser obtidos gratuitamente no sítio eletrônico oficial da Prefeitura Municipal de Araçuaí, através do endereço eletrônico </w:t>
      </w:r>
      <w:hyperlink r:id="rId5">
        <w:r>
          <w:rPr>
            <w:rStyle w:val="LinkdaInternet"/>
            <w:rFonts w:eastAsia="Arial" w:cs="Arial" w:ascii="Arial" w:hAnsi="Arial"/>
            <w:color w:val="auto"/>
            <w:sz w:val="22"/>
            <w:szCs w:val="22"/>
          </w:rPr>
          <w:t>www.aracuai.mg.gov.br</w:t>
        </w:r>
      </w:hyperlink>
      <w:r>
        <w:rPr>
          <w:rFonts w:eastAsia="Arial" w:cs="Arial" w:ascii="Arial" w:hAnsi="Arial"/>
          <w:color w:val="auto"/>
          <w:sz w:val="22"/>
          <w:szCs w:val="22"/>
        </w:rPr>
        <w:t xml:space="preserve">, na Plataforma de Licitações Licitar Digital, através do endereço eletrônico </w:t>
      </w:r>
      <w:hyperlink r:id="rId6">
        <w:r>
          <w:rPr>
            <w:rFonts w:eastAsia="Arial" w:cs="Arial" w:ascii="Arial" w:hAnsi="Arial"/>
            <w:color w:val="auto"/>
            <w:sz w:val="22"/>
            <w:szCs w:val="22"/>
            <w:u w:val="single"/>
          </w:rPr>
          <w:t>www.licitardigital.com.br</w:t>
        </w:r>
      </w:hyperlink>
      <w:r>
        <w:rPr>
          <w:rFonts w:eastAsia="Arial" w:cs="Arial" w:ascii="Arial" w:hAnsi="Arial"/>
          <w:color w:val="auto"/>
          <w:sz w:val="22"/>
          <w:szCs w:val="22"/>
        </w:rPr>
        <w:t xml:space="preserve"> e também no prédio sede da Prefeitura Municipal de Araçuaí, em dias e horários de expediente, a partir da data de sua publicação.</w:t>
      </w:r>
    </w:p>
    <w:p>
      <w:pPr>
        <w:pStyle w:val="Normal"/>
        <w:spacing w:lineRule="auto" w:line="360"/>
        <w:jc w:val="both"/>
        <w:rPr/>
      </w:pPr>
      <w:r>
        <w:rPr>
          <w:rFonts w:eastAsia="Arial" w:cs="Arial" w:ascii="Arial" w:hAnsi="Arial"/>
          <w:b/>
          <w:color w:val="auto"/>
          <w:sz w:val="22"/>
          <w:szCs w:val="22"/>
        </w:rPr>
        <w:t>1.4</w:t>
      </w:r>
      <w:r>
        <w:rPr>
          <w:rFonts w:eastAsia="Arial" w:cs="Arial" w:ascii="Arial" w:hAnsi="Arial"/>
          <w:color w:val="auto"/>
          <w:sz w:val="22"/>
          <w:szCs w:val="22"/>
        </w:rPr>
        <w:t xml:space="preserve"> - Toda e qualquer alteração que possivelmente ocorrer neste Edital, tais como errata, adendo, suspensão ou revogação, deverá ser consultada pelos pretensos licitantes no endereço eletrônico </w:t>
      </w:r>
      <w:hyperlink r:id="rId7">
        <w:r>
          <w:rPr>
            <w:rFonts w:eastAsia="Arial" w:cs="Arial" w:ascii="Arial" w:hAnsi="Arial"/>
            <w:color w:val="auto"/>
            <w:sz w:val="22"/>
            <w:szCs w:val="22"/>
            <w:u w:val="single"/>
          </w:rPr>
          <w:t>www.licitardigital.com.br</w:t>
        </w:r>
      </w:hyperlink>
      <w:r>
        <w:rPr>
          <w:rFonts w:eastAsia="Arial" w:cs="Arial" w:ascii="Arial" w:hAnsi="Arial"/>
          <w:color w:val="auto"/>
          <w:sz w:val="22"/>
          <w:szCs w:val="22"/>
        </w:rPr>
        <w:t xml:space="preserve">, bem como, no sítio eletrônico oficial da Prefeitura Municipal de Araçuaí. </w:t>
      </w:r>
    </w:p>
    <w:p>
      <w:pPr>
        <w:pStyle w:val="Normal"/>
        <w:spacing w:lineRule="auto" w:line="360"/>
        <w:jc w:val="both"/>
        <w:rPr/>
      </w:pPr>
      <w:r>
        <w:rPr>
          <w:rFonts w:eastAsia="Arial" w:cs="Arial" w:ascii="Arial" w:hAnsi="Arial"/>
          <w:b/>
          <w:color w:val="auto"/>
          <w:sz w:val="22"/>
          <w:szCs w:val="22"/>
        </w:rPr>
        <w:t>1.5</w:t>
      </w:r>
      <w:r>
        <w:rPr>
          <w:rFonts w:eastAsia="Arial" w:cs="Arial" w:ascii="Arial" w:hAnsi="Arial"/>
          <w:color w:val="auto"/>
          <w:sz w:val="22"/>
          <w:szCs w:val="22"/>
        </w:rPr>
        <w:t xml:space="preserve"> - A Administração não se responsabilizará caso o pretenso licitante não acesse o endereço eletrônico </w:t>
      </w:r>
      <w:hyperlink r:id="rId8">
        <w:r>
          <w:rPr>
            <w:rFonts w:eastAsia="Arial" w:cs="Arial" w:ascii="Arial" w:hAnsi="Arial"/>
            <w:color w:val="auto"/>
            <w:sz w:val="22"/>
            <w:szCs w:val="22"/>
            <w:u w:val="single"/>
          </w:rPr>
          <w:t>www.licitardigital.com.br</w:t>
        </w:r>
      </w:hyperlink>
      <w:r>
        <w:rPr>
          <w:rFonts w:eastAsia="Arial" w:cs="Arial" w:ascii="Arial" w:hAnsi="Arial"/>
          <w:color w:val="auto"/>
          <w:sz w:val="22"/>
          <w:szCs w:val="22"/>
        </w:rPr>
        <w:t xml:space="preserve"> ou não visualize a alteração no sítio eletrônico oficial supracitado consequentemente desconhecendo o teor dos Avisos publicados.</w:t>
        <w:br/>
        <w:t xml:space="preserve"> </w:t>
      </w:r>
    </w:p>
    <w:p>
      <w:pPr>
        <w:pStyle w:val="Normal"/>
        <w:shd w:val="clear" w:color="auto" w:fill="D9D9D9"/>
        <w:spacing w:lineRule="auto" w:line="360"/>
        <w:jc w:val="both"/>
        <w:rPr>
          <w:color w:val="auto"/>
        </w:rPr>
      </w:pPr>
      <w:r>
        <w:rPr>
          <w:rFonts w:eastAsia="Arial" w:cs="Arial" w:ascii="Arial" w:hAnsi="Arial"/>
          <w:b/>
          <w:color w:val="auto"/>
          <w:sz w:val="22"/>
          <w:szCs w:val="22"/>
        </w:rPr>
        <w:t>2- OBJETO</w:t>
      </w:r>
    </w:p>
    <w:p>
      <w:pPr>
        <w:pStyle w:val="Normal"/>
        <w:spacing w:lineRule="auto" w:line="360"/>
        <w:jc w:val="both"/>
        <w:rPr>
          <w:color w:val="auto"/>
        </w:rPr>
      </w:pPr>
      <w:r>
        <w:rPr>
          <w:rFonts w:eastAsia="Arial" w:cs="Arial" w:ascii="Arial" w:hAnsi="Arial"/>
          <w:b/>
          <w:color w:val="auto"/>
          <w:sz w:val="22"/>
          <w:szCs w:val="22"/>
        </w:rPr>
        <w:t>2.1.</w:t>
      </w:r>
      <w:r>
        <w:rPr>
          <w:rFonts w:eastAsia="Arial" w:cs="Arial" w:ascii="Arial" w:hAnsi="Arial"/>
          <w:color w:val="auto"/>
          <w:sz w:val="22"/>
          <w:szCs w:val="22"/>
        </w:rPr>
        <w:t xml:space="preserve"> Constitui objeto da presente licitação: </w:t>
      </w:r>
      <w:r>
        <w:rPr>
          <w:rFonts w:eastAsia="Arial" w:cs="Arial" w:ascii="Arial" w:hAnsi="Arial"/>
          <w:b/>
          <w:bCs/>
          <w:color w:val="auto"/>
          <w:sz w:val="22"/>
          <w:szCs w:val="22"/>
        </w:rPr>
        <w:t>Registro de preços para futura e eventual aquisição de oxigênio medicinal e cilindros, com regime de comodato de cilindros, para atender as demandas da Secretaria de Saúde do Município de Araçuaí - MG, conforme especificações constantes nos anexos a este edital.</w:t>
      </w:r>
    </w:p>
    <w:p>
      <w:pPr>
        <w:pStyle w:val="Normal"/>
        <w:shd w:val="clear" w:color="auto" w:fill="D9D9D9"/>
        <w:spacing w:lineRule="auto" w:line="360"/>
        <w:jc w:val="both"/>
        <w:rPr>
          <w:color w:val="auto"/>
        </w:rPr>
      </w:pPr>
      <w:r>
        <w:rPr>
          <w:rFonts w:eastAsia="Arial" w:cs="Arial" w:ascii="Arial" w:hAnsi="Arial"/>
          <w:b/>
          <w:color w:val="auto"/>
          <w:sz w:val="22"/>
          <w:szCs w:val="22"/>
        </w:rPr>
        <w:t>3 - CONDIÇÕES DE PARTICIPAÇÃO</w:t>
      </w:r>
    </w:p>
    <w:p>
      <w:pPr>
        <w:pStyle w:val="Normal"/>
        <w:spacing w:lineRule="auto" w:line="360"/>
        <w:jc w:val="both"/>
        <w:rPr>
          <w:color w:val="auto"/>
        </w:rPr>
      </w:pPr>
      <w:r>
        <w:rPr>
          <w:rFonts w:eastAsia="Arial" w:cs="Arial" w:ascii="Arial" w:hAnsi="Arial"/>
          <w:b/>
          <w:color w:val="auto"/>
          <w:sz w:val="22"/>
          <w:szCs w:val="22"/>
        </w:rPr>
        <w:t>3.1 –</w:t>
      </w:r>
      <w:r>
        <w:rPr>
          <w:rFonts w:eastAsia="Arial" w:cs="Arial" w:ascii="Arial" w:hAnsi="Arial"/>
          <w:color w:val="auto"/>
          <w:sz w:val="22"/>
          <w:szCs w:val="22"/>
        </w:rPr>
        <w:t xml:space="preserve"> Poderão participar deste Pregão as empresas legalmente constituídas e que comprovem possuir os requisitos mínimos de qualificação exigidos neste Edital e seus Anexos.</w:t>
      </w:r>
    </w:p>
    <w:p>
      <w:pPr>
        <w:pStyle w:val="Normal"/>
        <w:spacing w:lineRule="auto" w:line="360"/>
        <w:jc w:val="both"/>
        <w:rPr>
          <w:color w:val="auto"/>
        </w:rPr>
      </w:pPr>
      <w:r>
        <w:rPr>
          <w:rFonts w:eastAsia="Arial" w:cs="Arial" w:ascii="Arial" w:hAnsi="Arial"/>
          <w:b/>
          <w:color w:val="auto"/>
          <w:sz w:val="22"/>
          <w:szCs w:val="22"/>
        </w:rPr>
        <w:t>3.2 –</w:t>
      </w:r>
      <w:r>
        <w:rPr>
          <w:rFonts w:eastAsia="Arial" w:cs="Arial" w:ascii="Arial" w:hAnsi="Arial"/>
          <w:color w:val="auto"/>
          <w:sz w:val="22"/>
          <w:szCs w:val="22"/>
        </w:rPr>
        <w:t xml:space="preserve"> Não poderão participar do presente certame a empresa:</w:t>
      </w:r>
    </w:p>
    <w:p>
      <w:pPr>
        <w:pStyle w:val="Normal"/>
        <w:spacing w:lineRule="auto" w:line="360"/>
        <w:jc w:val="both"/>
        <w:rPr>
          <w:color w:val="auto"/>
        </w:rPr>
      </w:pPr>
      <w:r>
        <w:rPr>
          <w:rFonts w:eastAsia="Arial" w:cs="Arial" w:ascii="Arial" w:hAnsi="Arial"/>
          <w:b/>
          <w:color w:val="auto"/>
          <w:sz w:val="22"/>
          <w:szCs w:val="22"/>
        </w:rPr>
        <w:t>3.2.1 –</w:t>
      </w:r>
      <w:r>
        <w:rPr>
          <w:rFonts w:eastAsia="Arial" w:cs="Arial" w:ascii="Arial" w:hAnsi="Arial"/>
          <w:color w:val="auto"/>
          <w:sz w:val="22"/>
          <w:szCs w:val="22"/>
        </w:rPr>
        <w:t xml:space="preserve"> Empresa suspensa de participar de licitação e impedida de contratar com o Município, durante o prazo da sanção aplicada;</w:t>
      </w:r>
    </w:p>
    <w:p>
      <w:pPr>
        <w:pStyle w:val="Normal"/>
        <w:spacing w:lineRule="auto" w:line="360"/>
        <w:jc w:val="both"/>
        <w:rPr>
          <w:color w:val="auto"/>
        </w:rPr>
      </w:pPr>
      <w:r>
        <w:rPr>
          <w:rFonts w:eastAsia="Arial" w:cs="Arial" w:ascii="Arial" w:hAnsi="Arial"/>
          <w:b/>
          <w:color w:val="auto"/>
          <w:sz w:val="22"/>
          <w:szCs w:val="22"/>
        </w:rPr>
        <w:t>3.2.2 –</w:t>
      </w:r>
      <w:r>
        <w:rPr>
          <w:rFonts w:eastAsia="Arial" w:cs="Arial" w:ascii="Arial" w:hAnsi="Arial"/>
          <w:color w:val="auto"/>
          <w:sz w:val="22"/>
          <w:szCs w:val="22"/>
        </w:rPr>
        <w:t xml:space="preserve"> Empresa declarada inidônea para licitar ou contratar com a Administração Pública, enquanto perdurarem os motivos determinantes da punição ou até que seja promovida sua reabilitação;</w:t>
      </w:r>
    </w:p>
    <w:p>
      <w:pPr>
        <w:pStyle w:val="Normal"/>
        <w:spacing w:lineRule="auto" w:line="360"/>
        <w:jc w:val="both"/>
        <w:rPr>
          <w:color w:val="auto"/>
        </w:rPr>
      </w:pPr>
      <w:r>
        <w:rPr>
          <w:rFonts w:eastAsia="Arial" w:cs="Arial" w:ascii="Arial" w:hAnsi="Arial"/>
          <w:b/>
          <w:color w:val="auto"/>
          <w:sz w:val="22"/>
          <w:szCs w:val="22"/>
        </w:rPr>
        <w:t xml:space="preserve">3.2.3 – </w:t>
      </w:r>
      <w:r>
        <w:rPr>
          <w:rFonts w:eastAsia="Arial" w:cs="Arial" w:ascii="Arial" w:hAnsi="Arial"/>
          <w:color w:val="auto"/>
          <w:sz w:val="22"/>
          <w:szCs w:val="22"/>
        </w:rPr>
        <w:t>Empresa impedida de licitar e contratar com o Município, durante o prazo da sanção aplicada;</w:t>
      </w:r>
    </w:p>
    <w:p>
      <w:pPr>
        <w:pStyle w:val="Normal"/>
        <w:spacing w:lineRule="auto" w:line="360"/>
        <w:jc w:val="both"/>
        <w:rPr>
          <w:color w:val="auto"/>
        </w:rPr>
      </w:pPr>
      <w:r>
        <w:rPr>
          <w:rFonts w:eastAsia="Arial" w:cs="Arial" w:ascii="Arial" w:hAnsi="Arial"/>
          <w:b/>
          <w:color w:val="auto"/>
          <w:sz w:val="22"/>
          <w:szCs w:val="22"/>
        </w:rPr>
        <w:t xml:space="preserve">3.2.4 – </w:t>
      </w:r>
      <w:r>
        <w:rPr>
          <w:rFonts w:eastAsia="Arial" w:cs="Arial" w:ascii="Arial" w:hAnsi="Arial"/>
          <w:color w:val="auto"/>
          <w:sz w:val="22"/>
          <w:szCs w:val="22"/>
        </w:rPr>
        <w:t>Empresa proibida de contratar com o Poder Público, em razão do disposto no art. 72, § 8º, V, da Lei n.º 9.605/1998;</w:t>
      </w:r>
    </w:p>
    <w:p>
      <w:pPr>
        <w:pStyle w:val="Normal"/>
        <w:spacing w:lineRule="auto" w:line="360"/>
        <w:jc w:val="both"/>
        <w:rPr>
          <w:color w:val="auto"/>
        </w:rPr>
      </w:pPr>
      <w:r>
        <w:rPr>
          <w:rFonts w:eastAsia="Arial" w:cs="Arial" w:ascii="Arial" w:hAnsi="Arial"/>
          <w:b/>
          <w:color w:val="auto"/>
          <w:sz w:val="22"/>
          <w:szCs w:val="22"/>
        </w:rPr>
        <w:t>3.2.5 –</w:t>
      </w:r>
      <w:r>
        <w:rPr>
          <w:rFonts w:eastAsia="Arial" w:cs="Arial" w:ascii="Arial" w:hAnsi="Arial"/>
          <w:color w:val="auto"/>
          <w:sz w:val="22"/>
          <w:szCs w:val="22"/>
        </w:rPr>
        <w:t xml:space="preserve"> Empresa proibida de contratar com o Poder Público, nos termos do art. 12 da Lei n.º 8.429/1992;</w:t>
      </w:r>
    </w:p>
    <w:p>
      <w:pPr>
        <w:pStyle w:val="Normal"/>
        <w:spacing w:lineRule="auto" w:line="360"/>
        <w:jc w:val="both"/>
        <w:rPr>
          <w:color w:val="auto"/>
        </w:rPr>
      </w:pPr>
      <w:r>
        <w:rPr>
          <w:rFonts w:eastAsia="Arial" w:cs="Arial" w:ascii="Arial" w:hAnsi="Arial"/>
          <w:b/>
          <w:color w:val="auto"/>
          <w:sz w:val="22"/>
          <w:szCs w:val="22"/>
        </w:rPr>
        <w:t>3.2.6</w:t>
      </w:r>
      <w:r>
        <w:rPr>
          <w:rFonts w:eastAsia="Arial" w:cs="Arial" w:ascii="Arial" w:hAnsi="Arial"/>
          <w:color w:val="auto"/>
          <w:sz w:val="22"/>
          <w:szCs w:val="22"/>
        </w:rPr>
        <w:t xml:space="preserve"> - Quaisquer interessados enquadrados nas vedações previstas no art. 9º, §1º, art 14º da Lei n.º 14.133/2021;</w:t>
      </w:r>
    </w:p>
    <w:p>
      <w:pPr>
        <w:pStyle w:val="Normal"/>
        <w:spacing w:lineRule="auto" w:line="360"/>
        <w:jc w:val="both"/>
        <w:rPr>
          <w:color w:val="auto"/>
        </w:rPr>
      </w:pPr>
      <w:r>
        <w:rPr>
          <w:rFonts w:eastAsia="Arial" w:cs="Arial" w:ascii="Arial" w:hAnsi="Arial"/>
          <w:b/>
          <w:color w:val="auto"/>
          <w:sz w:val="22"/>
          <w:szCs w:val="22"/>
        </w:rPr>
        <w:t>3.2.6.1</w:t>
      </w:r>
      <w:r>
        <w:rPr>
          <w:rFonts w:eastAsia="Arial" w:cs="Arial" w:ascii="Arial" w:hAnsi="Arial"/>
          <w:color w:val="auto"/>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p>
    <w:p>
      <w:pPr>
        <w:pStyle w:val="Normal"/>
        <w:spacing w:lineRule="auto" w:line="360"/>
        <w:jc w:val="both"/>
        <w:rPr>
          <w:color w:val="auto"/>
        </w:rPr>
      </w:pPr>
      <w:r>
        <w:rPr>
          <w:rFonts w:eastAsia="Arial" w:cs="Arial" w:ascii="Arial" w:hAnsi="Arial"/>
          <w:b/>
          <w:color w:val="auto"/>
          <w:sz w:val="22"/>
          <w:szCs w:val="22"/>
        </w:rPr>
        <w:t>3.2.7</w:t>
      </w:r>
      <w:r>
        <w:rPr>
          <w:rFonts w:eastAsia="Arial" w:cs="Arial" w:ascii="Arial" w:hAnsi="Arial"/>
          <w:color w:val="auto"/>
          <w:sz w:val="22"/>
          <w:szCs w:val="22"/>
        </w:rPr>
        <w:t xml:space="preserve"> - Empresa cujo estatuto ou contrato social não seja pertinente e compatível com o objeto deste Pregão; </w:t>
      </w:r>
    </w:p>
    <w:p>
      <w:pPr>
        <w:pStyle w:val="Normal"/>
        <w:spacing w:lineRule="auto" w:line="360"/>
        <w:jc w:val="both"/>
        <w:rPr>
          <w:color w:val="auto"/>
        </w:rPr>
      </w:pPr>
      <w:r>
        <w:rPr>
          <w:rFonts w:eastAsia="Arial" w:cs="Arial" w:ascii="Arial" w:hAnsi="Arial"/>
          <w:b/>
          <w:color w:val="auto"/>
          <w:sz w:val="22"/>
          <w:szCs w:val="22"/>
        </w:rPr>
        <w:t>3.2.8</w:t>
      </w:r>
      <w:r>
        <w:rPr>
          <w:rFonts w:eastAsia="Arial" w:cs="Arial" w:ascii="Arial" w:hAnsi="Arial"/>
          <w:color w:val="auto"/>
          <w:sz w:val="22"/>
          <w:szCs w:val="22"/>
        </w:rPr>
        <w:t xml:space="preserve"> - Empresa que se encontre em processo de dissolução ou falência; </w:t>
      </w:r>
    </w:p>
    <w:p>
      <w:pPr>
        <w:pStyle w:val="Normal"/>
        <w:spacing w:lineRule="auto" w:line="360"/>
        <w:jc w:val="both"/>
        <w:rPr>
          <w:color w:val="auto"/>
        </w:rPr>
      </w:pPr>
      <w:r>
        <w:rPr>
          <w:rFonts w:eastAsia="Arial" w:cs="Arial" w:ascii="Arial" w:hAnsi="Arial"/>
          <w:b/>
          <w:color w:val="auto"/>
          <w:sz w:val="22"/>
          <w:szCs w:val="22"/>
        </w:rPr>
        <w:t>3.2.9</w:t>
      </w:r>
      <w:r>
        <w:rPr>
          <w:rFonts w:eastAsia="Arial" w:cs="Arial" w:ascii="Arial" w:hAnsi="Arial"/>
          <w:color w:val="auto"/>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pPr>
        <w:pStyle w:val="Normal"/>
        <w:spacing w:lineRule="auto" w:line="360"/>
        <w:jc w:val="both"/>
        <w:rPr>
          <w:color w:val="auto"/>
        </w:rPr>
      </w:pPr>
      <w:r>
        <w:rPr>
          <w:rFonts w:eastAsia="Arial" w:cs="Arial" w:ascii="Arial" w:hAnsi="Arial"/>
          <w:b/>
          <w:color w:val="auto"/>
          <w:sz w:val="22"/>
          <w:szCs w:val="22"/>
        </w:rPr>
        <w:t>3.2.10</w:t>
      </w:r>
      <w:r>
        <w:rPr>
          <w:rFonts w:eastAsia="Arial" w:cs="Arial" w:ascii="Arial" w:hAnsi="Arial"/>
          <w:color w:val="auto"/>
          <w:sz w:val="22"/>
          <w:szCs w:val="22"/>
        </w:rPr>
        <w:t xml:space="preserve"> - Consórcio de empresas</w:t>
      </w:r>
      <w:r>
        <w:rPr>
          <w:rStyle w:val="Ncoradanotaderodap"/>
          <w:rFonts w:eastAsia="Cambria" w:cs="Arial" w:ascii="Arial" w:hAnsi="Arial"/>
          <w:b/>
          <w:color w:val="auto"/>
          <w:sz w:val="22"/>
          <w:szCs w:val="22"/>
          <w:vertAlign w:val="superscript"/>
        </w:rPr>
        <w:footnoteReference w:id="2"/>
      </w:r>
      <w:r>
        <w:rPr>
          <w:rFonts w:eastAsia="Arial" w:cs="Arial" w:ascii="Arial" w:hAnsi="Arial"/>
          <w:color w:val="auto"/>
          <w:sz w:val="22"/>
          <w:szCs w:val="22"/>
        </w:rPr>
        <w:t>, qualquer que seja sua forma de constituição.</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pPr>
      <w:r>
        <w:rPr>
          <w:rFonts w:eastAsia="Arial" w:cs="Arial" w:ascii="Arial" w:hAnsi="Arial"/>
          <w:b/>
          <w:color w:val="auto"/>
          <w:sz w:val="22"/>
          <w:szCs w:val="22"/>
        </w:rPr>
        <w:t>3.3</w:t>
      </w:r>
      <w:r>
        <w:rPr>
          <w:rFonts w:eastAsia="Arial" w:cs="Arial" w:ascii="Arial" w:hAnsi="Arial"/>
          <w:color w:val="auto"/>
          <w:sz w:val="22"/>
          <w:szCs w:val="22"/>
        </w:rPr>
        <w:t xml:space="preserve"> – Os licitantes deverão estar previamente cadastrados na plataforma de licitações, o qual poderá ser realizado em </w:t>
      </w:r>
      <w:hyperlink r:id="rId9">
        <w:r>
          <w:rPr>
            <w:rFonts w:eastAsia="Arial" w:cs="Arial" w:ascii="Arial" w:hAnsi="Arial"/>
            <w:color w:val="auto"/>
            <w:sz w:val="22"/>
            <w:szCs w:val="22"/>
            <w:u w:val="single"/>
          </w:rPr>
          <w:t>www.licitardigital.com.br</w:t>
        </w:r>
      </w:hyperlink>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b/>
          <w:color w:val="auto"/>
          <w:sz w:val="22"/>
          <w:szCs w:val="22"/>
        </w:rPr>
        <w:t>3.4</w:t>
      </w:r>
      <w:r>
        <w:rPr>
          <w:rFonts w:eastAsia="Arial" w:cs="Arial" w:ascii="Arial" w:hAnsi="Arial"/>
          <w:color w:val="auto"/>
          <w:sz w:val="22"/>
          <w:szCs w:val="22"/>
        </w:rPr>
        <w:t xml:space="preserve"> - A observância das vedações supra é de inteira responsabilidade da licitante que, pelo descumprimento, se sujeita às penalidades cabíveis. </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4. DA IMPUGNAÇÃO DO ATO CONVOCATÓRIO</w:t>
      </w:r>
    </w:p>
    <w:p>
      <w:pPr>
        <w:pStyle w:val="Normal"/>
        <w:spacing w:lineRule="auto" w:line="360"/>
        <w:jc w:val="both"/>
        <w:rPr/>
      </w:pPr>
      <w:r>
        <w:rPr>
          <w:rFonts w:eastAsia="Arial" w:cs="Arial" w:ascii="Arial" w:hAnsi="Arial"/>
          <w:b/>
          <w:color w:val="auto"/>
          <w:sz w:val="22"/>
          <w:szCs w:val="22"/>
        </w:rPr>
        <w:t>4.1</w:t>
      </w:r>
      <w:r>
        <w:rPr>
          <w:rFonts w:eastAsia="Arial" w:cs="Arial" w:ascii="Arial" w:hAnsi="Arial"/>
          <w:color w:val="auto"/>
          <w:sz w:val="22"/>
          <w:szCs w:val="22"/>
        </w:rPr>
        <w:t xml:space="preserve"> - Até </w:t>
      </w:r>
      <w:r>
        <w:rPr>
          <w:rFonts w:eastAsia="Arial" w:cs="Arial" w:ascii="Arial" w:hAnsi="Arial"/>
          <w:b/>
          <w:color w:val="auto"/>
          <w:sz w:val="22"/>
          <w:szCs w:val="22"/>
        </w:rPr>
        <w:t>03 (três) dias</w:t>
      </w:r>
      <w:r>
        <w:rPr>
          <w:rFonts w:eastAsia="Arial" w:cs="Arial" w:ascii="Arial" w:hAnsi="Arial"/>
          <w:color w:val="auto"/>
          <w:sz w:val="22"/>
          <w:szCs w:val="22"/>
        </w:rPr>
        <w:t xml:space="preserve"> </w:t>
      </w:r>
      <w:r>
        <w:rPr>
          <w:rFonts w:eastAsia="Arial" w:cs="Arial" w:ascii="Arial" w:hAnsi="Arial"/>
          <w:b/>
          <w:color w:val="auto"/>
          <w:sz w:val="22"/>
          <w:szCs w:val="22"/>
        </w:rPr>
        <w:t>úteis</w:t>
      </w:r>
      <w:r>
        <w:rPr>
          <w:rFonts w:eastAsia="Arial" w:cs="Arial" w:ascii="Arial" w:hAnsi="Arial"/>
          <w:color w:val="auto"/>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0">
        <w:r>
          <w:rPr>
            <w:rFonts w:eastAsia="Arial" w:cs="Arial" w:ascii="Arial" w:hAnsi="Arial"/>
            <w:color w:val="auto"/>
            <w:sz w:val="22"/>
            <w:szCs w:val="22"/>
            <w:u w:val="single"/>
          </w:rPr>
          <w:t>www.licitardigital.com.br</w:t>
        </w:r>
      </w:hyperlink>
      <w:r>
        <w:rPr>
          <w:rFonts w:eastAsia="Arial" w:cs="Arial" w:ascii="Arial" w:hAnsi="Arial"/>
          <w:color w:val="auto"/>
          <w:sz w:val="22"/>
          <w:szCs w:val="22"/>
        </w:rPr>
        <w:t xml:space="preserve">, no local específico dentro do processo licitatório em análise - cabendo ao(a) PREGOEIRO(A) decidir sobre a petição no prazo de </w:t>
      </w:r>
      <w:r>
        <w:rPr>
          <w:rFonts w:eastAsia="Arial" w:cs="Arial" w:ascii="Arial" w:hAnsi="Arial"/>
          <w:b/>
          <w:color w:val="auto"/>
          <w:sz w:val="22"/>
          <w:szCs w:val="22"/>
        </w:rPr>
        <w:t>02(dois) dias úteis,</w:t>
      </w:r>
      <w:r>
        <w:rPr>
          <w:rFonts w:cs="Arial" w:ascii="Arial" w:hAnsi="Arial"/>
          <w:color w:val="auto"/>
          <w:sz w:val="22"/>
          <w:szCs w:val="22"/>
        </w:rPr>
        <w:t xml:space="preserve"> </w:t>
      </w:r>
      <w:r>
        <w:rPr>
          <w:rFonts w:eastAsia="Arial" w:cs="Arial" w:ascii="Arial" w:hAnsi="Arial"/>
          <w:b/>
          <w:color w:val="auto"/>
          <w:sz w:val="22"/>
          <w:szCs w:val="22"/>
        </w:rPr>
        <w:t>limitado ao último dia útil anterior à data da abertura do certame.</w:t>
      </w:r>
    </w:p>
    <w:p>
      <w:pPr>
        <w:pStyle w:val="Normal"/>
        <w:spacing w:lineRule="auto" w:line="360"/>
        <w:jc w:val="both"/>
        <w:rPr>
          <w:color w:val="auto"/>
        </w:rPr>
      </w:pPr>
      <w:r>
        <w:rPr>
          <w:rFonts w:eastAsia="Arial" w:cs="Arial" w:ascii="Arial" w:hAnsi="Arial"/>
          <w:b/>
          <w:color w:val="auto"/>
          <w:sz w:val="22"/>
          <w:szCs w:val="22"/>
        </w:rPr>
        <w:t xml:space="preserve">4.1.1 - </w:t>
      </w:r>
      <w:r>
        <w:rPr>
          <w:rFonts w:eastAsia="Arial" w:cs="Arial" w:ascii="Arial" w:hAnsi="Arial"/>
          <w:color w:val="auto"/>
          <w:sz w:val="22"/>
          <w:szCs w:val="22"/>
        </w:rPr>
        <w:t xml:space="preserve">Caso seja acolhida a impugnação contra o Ato Convocatório, será designada nova data para a realização do Certame.  </w:t>
      </w:r>
    </w:p>
    <w:p>
      <w:pPr>
        <w:pStyle w:val="Normal"/>
        <w:spacing w:lineRule="auto" w:line="360"/>
        <w:jc w:val="both"/>
        <w:rPr>
          <w:color w:val="auto"/>
        </w:rPr>
      </w:pPr>
      <w:r>
        <w:rPr>
          <w:rFonts w:eastAsia="Arial" w:cs="Arial" w:ascii="Arial" w:hAnsi="Arial"/>
          <w:b/>
          <w:color w:val="auto"/>
          <w:sz w:val="22"/>
          <w:szCs w:val="22"/>
        </w:rPr>
        <w:t xml:space="preserve">4.2 - </w:t>
      </w:r>
      <w:r>
        <w:rPr>
          <w:rFonts w:eastAsia="Arial" w:cs="Arial" w:ascii="Arial" w:hAnsi="Arial"/>
          <w:color w:val="auto"/>
          <w:sz w:val="22"/>
          <w:szCs w:val="22"/>
        </w:rPr>
        <w:t xml:space="preserve">Decairá do direito de impugnar os termos deste edital, por falhas ou irregularidades, o proponente/licitante que não o fizer até o </w:t>
      </w:r>
      <w:r>
        <w:rPr>
          <w:rFonts w:eastAsia="Arial" w:cs="Arial" w:ascii="Arial" w:hAnsi="Arial"/>
          <w:b/>
          <w:color w:val="auto"/>
          <w:sz w:val="22"/>
          <w:szCs w:val="22"/>
        </w:rPr>
        <w:t>terceiro dia útil</w:t>
      </w:r>
      <w:r>
        <w:rPr>
          <w:rFonts w:eastAsia="Arial" w:cs="Arial" w:ascii="Arial" w:hAnsi="Arial"/>
          <w:color w:val="auto"/>
          <w:sz w:val="22"/>
          <w:szCs w:val="22"/>
        </w:rPr>
        <w:t xml:space="preserve"> que anteceder à data de realização da sessão pública do Pregão, hipótese em que tal comunicação não terá efeito de recurso.</w:t>
      </w:r>
    </w:p>
    <w:p>
      <w:pPr>
        <w:pStyle w:val="Normal"/>
        <w:spacing w:lineRule="auto" w:line="360"/>
        <w:jc w:val="both"/>
        <w:rPr>
          <w:color w:val="auto"/>
        </w:rPr>
      </w:pPr>
      <w:r>
        <w:rPr>
          <w:rFonts w:eastAsia="Arial" w:cs="Arial" w:ascii="Arial" w:hAnsi="Arial"/>
          <w:b/>
          <w:color w:val="auto"/>
          <w:sz w:val="22"/>
          <w:szCs w:val="22"/>
        </w:rPr>
        <w:t>4.3 -</w:t>
      </w:r>
      <w:r>
        <w:rPr>
          <w:rFonts w:eastAsia="Arial" w:cs="Arial" w:ascii="Arial" w:hAnsi="Arial"/>
          <w:color w:val="auto"/>
          <w:sz w:val="22"/>
          <w:szCs w:val="22"/>
        </w:rPr>
        <w:t xml:space="preserve"> A impugnação feita tempestivamente pelo proponente/licitante não o impedirá de participar do Certame.</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5 – DO CREDENCIAMENTO NO SISTEMA E DA EFETIVA PARTICIPAÇÃO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5.1 -</w:t>
      </w:r>
      <w:r>
        <w:rPr>
          <w:rFonts w:eastAsia="Arial" w:cs="Arial" w:ascii="Arial" w:hAnsi="Arial"/>
          <w:color w:val="auto"/>
          <w:sz w:val="22"/>
          <w:szCs w:val="22"/>
        </w:rPr>
        <w:t xml:space="preserve"> O Pregão Eletrônico será realizado em sessão pública, por meio da internet, mediante condições de segurança (criptografia e autenticação) em todas as suas fases.</w:t>
      </w:r>
    </w:p>
    <w:p>
      <w:pPr>
        <w:pStyle w:val="Normal"/>
        <w:tabs>
          <w:tab w:val="clear" w:pos="720"/>
          <w:tab w:val="left" w:pos="3135" w:leader="none"/>
        </w:tabs>
        <w:spacing w:lineRule="auto" w:line="360"/>
        <w:jc w:val="both"/>
        <w:rPr/>
      </w:pPr>
      <w:r>
        <w:rPr>
          <w:rFonts w:eastAsia="Arial" w:cs="Arial" w:ascii="Arial" w:hAnsi="Arial"/>
          <w:b/>
          <w:color w:val="auto"/>
          <w:sz w:val="22"/>
          <w:szCs w:val="22"/>
        </w:rPr>
        <w:t>5.2</w:t>
      </w:r>
      <w:r>
        <w:rPr>
          <w:rFonts w:eastAsia="Arial" w:cs="Arial" w:ascii="Arial" w:hAnsi="Arial"/>
          <w:color w:val="auto"/>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1">
        <w:r>
          <w:rPr>
            <w:rFonts w:eastAsia="Arial" w:cs="Arial" w:ascii="Arial" w:hAnsi="Arial"/>
            <w:color w:val="auto"/>
            <w:sz w:val="22"/>
            <w:szCs w:val="22"/>
            <w:u w:val="single"/>
          </w:rPr>
          <w:t>www.licitardigital.com.br</w:t>
        </w:r>
      </w:hyperlink>
      <w:r>
        <w:rPr>
          <w:rFonts w:eastAsia="Arial" w:cs="Arial" w:ascii="Arial" w:hAnsi="Arial"/>
          <w:color w:val="auto"/>
          <w:sz w:val="22"/>
          <w:szCs w:val="22"/>
        </w:rPr>
        <w:t>).</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5.3</w:t>
      </w:r>
      <w:r>
        <w:rPr>
          <w:rFonts w:eastAsia="Arial" w:cs="Arial" w:ascii="Arial" w:hAnsi="Arial"/>
          <w:color w:val="auto"/>
          <w:sz w:val="22"/>
          <w:szCs w:val="22"/>
        </w:rPr>
        <w:t xml:space="preserve"> - É de exclusiva responsabilidade do usuário o sigilo da senha, bem como, seu uso em qualquer transação efetuada diretamente ou por seu representante, não cabendo ao Município de Araçuaí, ao provedor do sistema ou ao órgão promotor da licitação, a responsabilidade por eventuais danos decorrentes do uso indevido do acesso.</w:t>
      </w:r>
    </w:p>
    <w:p>
      <w:pPr>
        <w:pStyle w:val="Normal"/>
        <w:tabs>
          <w:tab w:val="clear" w:pos="720"/>
          <w:tab w:val="left" w:pos="3135"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5.4</w:t>
      </w:r>
      <w:r>
        <w:rPr>
          <w:rFonts w:eastAsia="Arial" w:cs="Arial" w:ascii="Arial" w:hAnsi="Arial"/>
          <w:color w:val="auto"/>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5.5</w:t>
      </w:r>
      <w:r>
        <w:rPr>
          <w:rFonts w:eastAsia="Arial" w:cs="Arial" w:ascii="Arial" w:hAnsi="Arial"/>
          <w:color w:val="auto"/>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5.6</w:t>
      </w:r>
      <w:r>
        <w:rPr>
          <w:rFonts w:eastAsia="Arial" w:cs="Arial" w:ascii="Arial" w:hAnsi="Arial"/>
          <w:color w:val="auto"/>
          <w:sz w:val="22"/>
          <w:szCs w:val="22"/>
        </w:rPr>
        <w:t xml:space="preserve"> - O encaminhamento de proposta pressupõe o pleno conhecimento e atendimento às exigências de habilitação previstas neste Edital. </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5.7</w:t>
      </w:r>
      <w:r>
        <w:rPr>
          <w:rFonts w:eastAsia="Arial" w:cs="Arial" w:ascii="Arial" w:hAnsi="Arial"/>
          <w:color w:val="auto"/>
          <w:sz w:val="22"/>
          <w:szCs w:val="22"/>
        </w:rPr>
        <w:t xml:space="preserve"> - </w:t>
      </w:r>
      <w:r>
        <w:rPr>
          <w:rFonts w:eastAsia="Arial" w:cs="Arial" w:ascii="Arial" w:hAnsi="Arial"/>
          <w:b/>
          <w:color w:val="auto"/>
          <w:sz w:val="22"/>
          <w:szCs w:val="22"/>
        </w:rPr>
        <w:t>COMO CONDIÇÃO PARA PARTICIPAÇÃO NO PREGÃO, A LICITANTE ASSINALARÁ “SIM” OU “NÃO” EM CAMPO PRÓPRIO DO SISTEMA ELETRÔNICO, RELATIVO ÀS SEGUINTES DECLARAÇÕES</w:t>
      </w:r>
      <w:r>
        <w:rPr>
          <w:rFonts w:eastAsia="Arial" w:cs="Arial" w:ascii="Arial" w:hAnsi="Arial"/>
          <w:color w:val="auto"/>
          <w:sz w:val="22"/>
          <w:szCs w:val="22"/>
        </w:rPr>
        <w:t>:</w:t>
      </w:r>
    </w:p>
    <w:p>
      <w:pPr>
        <w:pStyle w:val="Normal"/>
        <w:spacing w:lineRule="auto" w:line="360"/>
        <w:ind w:left="720" w:hanging="0"/>
        <w:jc w:val="both"/>
        <w:rPr>
          <w:color w:val="auto"/>
        </w:rPr>
      </w:pPr>
      <w:r>
        <w:rPr>
          <w:rFonts w:eastAsia="Arial" w:cs="Arial" w:ascii="Arial" w:hAnsi="Arial"/>
          <w:color w:val="auto"/>
          <w:sz w:val="22"/>
          <w:szCs w:val="22"/>
        </w:rPr>
        <w:t>(  ) Declaro que não incorro nas condições impeditivas do art. 14 e art 9º § 1º da Lei Federal nº 14.133/21.</w:t>
      </w:r>
    </w:p>
    <w:p>
      <w:pPr>
        <w:pStyle w:val="Normal"/>
        <w:spacing w:lineRule="auto" w:line="360"/>
        <w:ind w:left="720" w:hanging="0"/>
        <w:jc w:val="both"/>
        <w:rPr>
          <w:color w:val="auto"/>
        </w:rPr>
      </w:pPr>
      <w:r>
        <w:rPr>
          <w:rFonts w:eastAsia="Arial" w:cs="Arial" w:ascii="Arial" w:hAnsi="Arial"/>
          <w:color w:val="auto"/>
          <w:sz w:val="22"/>
          <w:szCs w:val="22"/>
        </w:rPr>
        <w:t>( ) Declaro que atendo aos requisitos de habilitação, conforme disposto no art. 63, inciso I, da Lei Federal nº 14.133/21.</w:t>
      </w:r>
    </w:p>
    <w:p>
      <w:pPr>
        <w:pStyle w:val="Normal"/>
        <w:spacing w:lineRule="auto" w:line="360"/>
        <w:ind w:left="720" w:hanging="0"/>
        <w:jc w:val="both"/>
        <w:rPr>
          <w:color w:val="auto"/>
        </w:rPr>
      </w:pPr>
      <w:r>
        <w:rPr>
          <w:rFonts w:eastAsia="Arial" w:cs="Arial" w:ascii="Arial" w:hAnsi="Arial"/>
          <w:color w:val="auto"/>
          <w:sz w:val="22"/>
          <w:szCs w:val="22"/>
        </w:rPr>
        <w:t>(  ) Declaro que cumpro as exigências de reserva de cargos para pessoa com deficiência e para reabilitado da Previdência Social, previstas em lei e em outras normas específicas, conforme art. 63, inciso IV, da Lei Federal nº 14.133/21.</w:t>
      </w:r>
    </w:p>
    <w:p>
      <w:pPr>
        <w:pStyle w:val="Normal"/>
        <w:spacing w:lineRule="auto" w:line="360"/>
        <w:ind w:left="720" w:hanging="0"/>
        <w:jc w:val="both"/>
        <w:rPr>
          <w:color w:val="auto"/>
        </w:rPr>
      </w:pPr>
      <w:r>
        <w:rPr>
          <w:rFonts w:eastAsia="Arial" w:cs="Arial" w:ascii="Arial" w:hAnsi="Arial"/>
          <w:color w:val="auto"/>
          <w:sz w:val="22"/>
          <w:szCs w:val="22"/>
        </w:rPr>
        <w:t>( ) Declaro que a proposta apresentada para essa licitação está em conformidade com as exigências do instrumento convocatório e me responsabilizo pela veracidade e autenticidade dos documentos apresentados.</w:t>
      </w:r>
    </w:p>
    <w:p>
      <w:pPr>
        <w:pStyle w:val="Normal"/>
        <w:spacing w:lineRule="auto" w:line="360"/>
        <w:ind w:left="720" w:hanging="0"/>
        <w:jc w:val="both"/>
        <w:rPr>
          <w:color w:val="auto"/>
        </w:rPr>
      </w:pPr>
      <w:r>
        <w:rPr>
          <w:rFonts w:eastAsia="Arial" w:cs="Arial" w:ascii="Arial" w:hAnsi="Arial"/>
          <w:color w:val="auto"/>
          <w:sz w:val="22"/>
          <w:szCs w:val="22"/>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pPr>
        <w:pStyle w:val="Normal"/>
        <w:spacing w:lineRule="auto" w:line="360"/>
        <w:ind w:left="720" w:hanging="0"/>
        <w:jc w:val="both"/>
        <w:rPr>
          <w:color w:val="auto"/>
        </w:rPr>
      </w:pPr>
      <w:r>
        <w:rPr>
          <w:rFonts w:eastAsia="Arial" w:cs="Arial" w:ascii="Arial" w:hAnsi="Arial"/>
          <w:color w:val="auto"/>
          <w:sz w:val="22"/>
          <w:szCs w:val="22"/>
        </w:rPr>
        <w:t>( ) Declaro que estou ciente do edital e concordo com as condições locais para o cumprimento das obrigações objeto da licitação, conforme o art. 67, inciso VI, da Lei Federal nº 14.133/21;</w:t>
      </w:r>
    </w:p>
    <w:p>
      <w:pPr>
        <w:pStyle w:val="Normal"/>
        <w:spacing w:lineRule="auto" w:line="360"/>
        <w:ind w:left="720" w:hanging="0"/>
        <w:jc w:val="both"/>
        <w:rPr>
          <w:color w:val="auto"/>
        </w:rPr>
      </w:pPr>
      <w:r>
        <w:rPr>
          <w:rFonts w:eastAsia="Arial" w:cs="Arial" w:ascii="Arial" w:hAnsi="Arial"/>
          <w:color w:val="auto"/>
          <w:sz w:val="22"/>
          <w:szCs w:val="22"/>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pPr>
        <w:pStyle w:val="Normal"/>
        <w:spacing w:lineRule="auto" w:line="360"/>
        <w:ind w:left="720" w:hanging="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ind w:left="720" w:hanging="0"/>
        <w:jc w:val="both"/>
        <w:rPr>
          <w:color w:val="auto"/>
        </w:rPr>
      </w:pPr>
      <w:r>
        <w:rPr>
          <w:rFonts w:eastAsia="Arial" w:cs="Arial" w:ascii="Arial" w:hAnsi="Arial"/>
          <w:color w:val="auto"/>
          <w:sz w:val="22"/>
          <w:szCs w:val="22"/>
        </w:rPr>
        <w:t>( ) Declaro que não possuo, em minha cadeia produtiva, empregados executando trabalho degradante ou forçado, observando o disposto nos incisos III e IV do art. 1º e no inciso III do art. 5º da Constituição Federal/88.</w:t>
      </w:r>
    </w:p>
    <w:p>
      <w:pPr>
        <w:pStyle w:val="Normal"/>
        <w:spacing w:lineRule="auto" w:line="360"/>
        <w:ind w:left="720" w:hanging="0"/>
        <w:jc w:val="both"/>
        <w:rPr>
          <w:color w:val="auto"/>
        </w:rPr>
      </w:pPr>
      <w:r>
        <w:rPr>
          <w:rFonts w:eastAsia="Arial" w:cs="Arial" w:ascii="Arial" w:hAnsi="Arial"/>
          <w:color w:val="auto"/>
          <w:sz w:val="22"/>
          <w:szCs w:val="22"/>
        </w:rPr>
        <w:t xml:space="preserve">( ) Declaro para os devidos fins legais, sem prejuízo das sanções e multas previstas neste ato convocatório, estar enquadrado como ME/EPP/Cooperativa, conforme a Lei Complementar nº 123/2006, não contrariando o disposto no art. 4º §  2º da Lei 14.133/2021, cujos termos declaro conhecer na íntegra, estando apto, portanto, a exercer o direito de preferência. </w:t>
      </w:r>
    </w:p>
    <w:p>
      <w:pPr>
        <w:pStyle w:val="Normal"/>
        <w:spacing w:lineRule="auto" w:line="360"/>
        <w:ind w:left="720" w:hanging="0"/>
        <w:jc w:val="both"/>
        <w:rPr>
          <w:color w:val="auto"/>
        </w:rPr>
      </w:pPr>
      <w:r>
        <w:rPr>
          <w:rFonts w:eastAsia="Arial" w:cs="Arial" w:ascii="Arial" w:hAnsi="Arial"/>
          <w:color w:val="auto"/>
          <w:sz w:val="22"/>
          <w:szCs w:val="22"/>
        </w:rPr>
        <w:t>( ) Sim, ME ( ) Sim, EPP ( ) Não, outros enquadramentos.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5.8 -</w:t>
      </w:r>
      <w:r>
        <w:rPr>
          <w:rFonts w:eastAsia="Arial" w:cs="Arial" w:ascii="Arial" w:hAnsi="Arial"/>
          <w:color w:val="auto"/>
          <w:sz w:val="22"/>
          <w:szCs w:val="22"/>
        </w:rPr>
        <w:t xml:space="preserve"> A declaração falsa relativa ao cumprimento de qualquer condição sujeitará o licitante às sanções previstas em lei e neste Edital.</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6 – DA APRESENTAÇÃO DA PROPOSTA E DOS DOCUMENTOS DE HABILITAÇÃO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6.1</w:t>
      </w:r>
      <w:r>
        <w:rPr>
          <w:rFonts w:eastAsia="Arial" w:cs="Arial" w:ascii="Arial" w:hAnsi="Arial"/>
          <w:color w:val="auto"/>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6.2</w:t>
      </w:r>
      <w:r>
        <w:rPr>
          <w:rFonts w:eastAsia="Arial" w:cs="Arial" w:ascii="Arial" w:hAnsi="Arial"/>
          <w:color w:val="auto"/>
          <w:sz w:val="22"/>
          <w:szCs w:val="22"/>
        </w:rPr>
        <w:t xml:space="preserve"> - O envio da proposta, acompanhada dos documentos de habilitação exigidos neste Edital, ocorrerá por meio de chave de acesso e senha intransferíveis.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6.3</w:t>
      </w:r>
      <w:r>
        <w:rPr>
          <w:rFonts w:eastAsia="Arial" w:cs="Arial" w:ascii="Arial" w:hAnsi="Arial"/>
          <w:color w:val="auto"/>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6.4</w:t>
      </w:r>
      <w:r>
        <w:rPr>
          <w:rFonts w:eastAsia="Arial" w:cs="Arial" w:ascii="Arial" w:hAnsi="Arial"/>
          <w:color w:val="auto"/>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6.5</w:t>
      </w:r>
      <w:r>
        <w:rPr>
          <w:rFonts w:eastAsia="Arial" w:cs="Arial" w:ascii="Arial" w:hAnsi="Arial"/>
          <w:color w:val="auto"/>
          <w:sz w:val="22"/>
          <w:szCs w:val="22"/>
        </w:rPr>
        <w:t xml:space="preserve"> - Até a abertura da sessão pública, os licitantes poderão retirar ou substituir a proposta e os documentos de habilitação anteriormente inseridos no sistema;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6.6</w:t>
      </w:r>
      <w:r>
        <w:rPr>
          <w:rFonts w:eastAsia="Arial" w:cs="Arial" w:ascii="Arial" w:hAnsi="Arial"/>
          <w:color w:val="auto"/>
          <w:sz w:val="22"/>
          <w:szCs w:val="22"/>
        </w:rPr>
        <w:t xml:space="preserve"> - Não será estabelecida, nessa etapa do certame, ordem de classificação entre as propostas apresentadas, o que somente ocorrerá após a realização dos procedimentos de negociação e julgamento da proposta.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6.7</w:t>
      </w:r>
      <w:r>
        <w:rPr>
          <w:rFonts w:eastAsia="Arial" w:cs="Arial" w:ascii="Arial" w:hAnsi="Arial"/>
          <w:color w:val="auto"/>
          <w:sz w:val="22"/>
          <w:szCs w:val="22"/>
        </w:rPr>
        <w:t xml:space="preserve"> - Os documentos que compõem a proposta e a habilitação do licitante melhor classificado somente serão disponibilizados para avaliação do(a) Pregoeiro(a) e para acesso público após o encerramento do envio de lances.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6.8</w:t>
      </w:r>
      <w:r>
        <w:rPr>
          <w:rFonts w:eastAsia="Arial" w:cs="Arial" w:ascii="Arial" w:hAnsi="Arial"/>
          <w:color w:val="auto"/>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pelo(a) Pregoeiro(a), de 02 (duas) horas, sob pena de inabilitação, podendo ser prorrogado.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6.9</w:t>
      </w:r>
      <w:r>
        <w:rPr>
          <w:rFonts w:eastAsia="Arial" w:cs="Arial" w:ascii="Arial" w:hAnsi="Arial"/>
          <w:color w:val="auto"/>
          <w:sz w:val="22"/>
          <w:szCs w:val="22"/>
        </w:rPr>
        <w:t xml:space="preserve"> - Somente haverá a necessidade de comprovação do preenchimento de requisitos mediante apresentação dos documentos originais não-digitais quando houver dúvida em relação à integridade do documento digital.</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6.9.1</w:t>
      </w:r>
      <w:r>
        <w:rPr>
          <w:rFonts w:eastAsia="Arial" w:cs="Arial" w:ascii="Arial" w:hAnsi="Arial"/>
          <w:color w:val="auto"/>
          <w:sz w:val="22"/>
          <w:szCs w:val="22"/>
        </w:rPr>
        <w:t xml:space="preserve"> - Nestes casos, a licitante deverá encaminhar a documentação original ou a cópia autenticada exigida, no prazo máximo de 03 (três) dias úteis, contados da data da solicitação do(a) Pregoeiro(a), via sistema.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6.10 -</w:t>
      </w:r>
      <w:r>
        <w:rPr>
          <w:rFonts w:eastAsia="Arial" w:cs="Arial" w:ascii="Arial" w:hAnsi="Arial"/>
          <w:color w:val="auto"/>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6.11 -</w:t>
      </w:r>
      <w:r>
        <w:rPr>
          <w:rFonts w:eastAsia="Arial" w:cs="Arial" w:ascii="Arial" w:hAnsi="Arial"/>
          <w:color w:val="auto"/>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6.12</w:t>
      </w:r>
      <w:r>
        <w:rPr>
          <w:rFonts w:eastAsia="Arial" w:cs="Arial" w:ascii="Arial" w:hAnsi="Arial"/>
          <w:color w:val="auto"/>
          <w:sz w:val="22"/>
          <w:szCs w:val="22"/>
        </w:rPr>
        <w:t xml:space="preserve"> - Havendo necessidade de analisar minuciosamente os documentos exigidos, o(a) Pregoeiro(a) suspenderá a sessão, informando no “</w:t>
      </w:r>
      <w:r>
        <w:rPr>
          <w:rFonts w:eastAsia="Arial" w:cs="Arial" w:ascii="Arial" w:hAnsi="Arial"/>
          <w:b/>
          <w:i/>
          <w:color w:val="auto"/>
          <w:sz w:val="22"/>
          <w:szCs w:val="22"/>
        </w:rPr>
        <w:t>chat</w:t>
      </w:r>
      <w:r>
        <w:rPr>
          <w:rFonts w:eastAsia="Arial" w:cs="Arial" w:ascii="Arial" w:hAnsi="Arial"/>
          <w:color w:val="auto"/>
          <w:sz w:val="22"/>
          <w:szCs w:val="22"/>
        </w:rPr>
        <w:t>” a nova data e horário para a continuidade da mesma.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6.13</w:t>
      </w:r>
      <w:r>
        <w:rPr>
          <w:rFonts w:eastAsia="Arial" w:cs="Arial" w:ascii="Arial" w:hAnsi="Arial"/>
          <w:color w:val="auto"/>
          <w:sz w:val="22"/>
          <w:szCs w:val="22"/>
        </w:rPr>
        <w:t xml:space="preserve"> - Será inabilitado o licitante que não comprovar sua habilitação, seja por não apresentar quaisquer dos documentos exigidos, ou apresentá-los em desacordo com o estabelecido neste Edital.</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7 – DO PREENCHIMENTO DA PROPOSTA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7.1</w:t>
      </w:r>
      <w:r>
        <w:rPr>
          <w:rFonts w:eastAsia="Arial" w:cs="Arial" w:ascii="Arial" w:hAnsi="Arial"/>
          <w:color w:val="auto"/>
          <w:sz w:val="22"/>
          <w:szCs w:val="22"/>
        </w:rPr>
        <w:t xml:space="preserve"> - O licitante deverá enviar sua proposta mediante o preenchimento, no sistema eletrônico, dos seguintes campos:</w:t>
      </w:r>
    </w:p>
    <w:p>
      <w:pPr>
        <w:pStyle w:val="Normal"/>
        <w:widowControl/>
        <w:tabs>
          <w:tab w:val="clear" w:pos="720"/>
          <w:tab w:val="left" w:pos="3135" w:leader="none"/>
        </w:tabs>
        <w:bidi w:val="0"/>
        <w:spacing w:lineRule="auto" w:line="360" w:before="0" w:after="0"/>
        <w:ind w:left="0" w:right="0" w:hanging="0"/>
        <w:jc w:val="both"/>
        <w:rPr>
          <w:color w:val="auto"/>
        </w:rPr>
      </w:pPr>
      <w:r>
        <w:rPr>
          <w:rFonts w:eastAsia="Arial" w:cs="Arial" w:ascii="Arial" w:hAnsi="Arial"/>
          <w:b/>
          <w:color w:val="auto"/>
          <w:sz w:val="22"/>
          <w:szCs w:val="22"/>
        </w:rPr>
        <w:t>7.1.1</w:t>
      </w:r>
      <w:r>
        <w:rPr>
          <w:rFonts w:eastAsia="Arial" w:cs="Arial" w:ascii="Arial" w:hAnsi="Arial"/>
          <w:color w:val="auto"/>
          <w:sz w:val="22"/>
          <w:szCs w:val="22"/>
        </w:rPr>
        <w:t xml:space="preserve"> - Valor unitário e total dos itens;</w:t>
      </w:r>
    </w:p>
    <w:p>
      <w:pPr>
        <w:pStyle w:val="Normal"/>
        <w:widowControl/>
        <w:tabs>
          <w:tab w:val="clear" w:pos="720"/>
          <w:tab w:val="left" w:pos="3135" w:leader="none"/>
        </w:tabs>
        <w:bidi w:val="0"/>
        <w:spacing w:lineRule="auto" w:line="360" w:before="0" w:after="0"/>
        <w:ind w:left="0" w:right="0" w:hanging="0"/>
        <w:jc w:val="both"/>
        <w:rPr>
          <w:color w:val="auto"/>
        </w:rPr>
      </w:pPr>
      <w:r>
        <w:rPr>
          <w:rFonts w:eastAsia="Arial" w:cs="Arial" w:ascii="Arial" w:hAnsi="Arial"/>
          <w:b/>
          <w:color w:val="auto"/>
          <w:sz w:val="22"/>
          <w:szCs w:val="22"/>
        </w:rPr>
        <w:t>7.1.2</w:t>
      </w:r>
      <w:r>
        <w:rPr>
          <w:rFonts w:eastAsia="Arial" w:cs="Arial" w:ascii="Arial" w:hAnsi="Arial"/>
          <w:color w:val="auto"/>
          <w:sz w:val="22"/>
          <w:szCs w:val="22"/>
        </w:rPr>
        <w:t xml:space="preserve"> - Marca dos produtos ofertados.</w:t>
      </w:r>
    </w:p>
    <w:p>
      <w:pPr>
        <w:pStyle w:val="Normal"/>
        <w:widowControl/>
        <w:tabs>
          <w:tab w:val="clear" w:pos="720"/>
          <w:tab w:val="left" w:pos="3135" w:leader="none"/>
        </w:tabs>
        <w:bidi w:val="0"/>
        <w:spacing w:lineRule="auto" w:line="360" w:before="0" w:after="0"/>
        <w:ind w:left="0" w:right="0" w:hanging="0"/>
        <w:jc w:val="both"/>
        <w:rPr>
          <w:color w:val="auto"/>
        </w:rPr>
      </w:pPr>
      <w:r>
        <w:rPr>
          <w:rFonts w:eastAsia="Arial" w:cs="Arial" w:ascii="Arial" w:hAnsi="Arial"/>
          <w:b/>
          <w:color w:val="auto"/>
          <w:sz w:val="22"/>
          <w:szCs w:val="22"/>
        </w:rPr>
        <w:t>7.1.3</w:t>
      </w:r>
      <w:r>
        <w:rPr>
          <w:rFonts w:eastAsia="Arial" w:cs="Arial" w:ascii="Arial" w:hAnsi="Arial"/>
          <w:color w:val="auto"/>
          <w:sz w:val="22"/>
          <w:szCs w:val="22"/>
        </w:rPr>
        <w:t xml:space="preserve"> - Descrição detalhada do objeto, contendo as informações similares à especificação do Termo de Referência: indicando, no que for aplicável: modelo, prazo de garantia etc.</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7.2</w:t>
      </w:r>
      <w:r>
        <w:rPr>
          <w:rFonts w:eastAsia="Arial" w:cs="Arial" w:ascii="Arial" w:hAnsi="Arial"/>
          <w:color w:val="auto"/>
          <w:sz w:val="22"/>
          <w:szCs w:val="22"/>
        </w:rPr>
        <w:t xml:space="preserve"> - Todas as especificações do objeto contidas na proposta vinculam à Contratada.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7.3</w:t>
      </w:r>
      <w:r>
        <w:rPr>
          <w:rFonts w:eastAsia="Arial" w:cs="Arial" w:ascii="Arial" w:hAnsi="Arial"/>
          <w:color w:val="auto"/>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7.4</w:t>
      </w:r>
      <w:r>
        <w:rPr>
          <w:rFonts w:eastAsia="Arial" w:cs="Arial" w:ascii="Arial" w:hAnsi="Arial"/>
          <w:color w:val="auto"/>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7.5</w:t>
      </w:r>
      <w:r>
        <w:rPr>
          <w:rFonts w:eastAsia="Arial" w:cs="Arial" w:ascii="Arial" w:hAnsi="Arial"/>
          <w:color w:val="auto"/>
          <w:sz w:val="22"/>
          <w:szCs w:val="22"/>
        </w:rPr>
        <w:t xml:space="preserve"> - O prazo de validade da proposta é fixado em 60 (sessenta) dias, a contar da data de sua apresentação.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7.6</w:t>
      </w:r>
      <w:r>
        <w:rPr>
          <w:rFonts w:eastAsia="Arial" w:cs="Arial" w:ascii="Arial" w:hAnsi="Arial"/>
          <w:color w:val="auto"/>
          <w:sz w:val="22"/>
          <w:szCs w:val="22"/>
        </w:rPr>
        <w:t xml:space="preserve"> - Os licitantes devem respeitar os preços máximos estabelecidos nas normas de regência de contratações públicas, quando participarem de licitações públicas.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7.7</w:t>
      </w:r>
      <w:r>
        <w:rPr>
          <w:rFonts w:eastAsia="Arial" w:cs="Arial" w:ascii="Arial" w:hAnsi="Arial"/>
          <w:color w:val="auto"/>
          <w:sz w:val="22"/>
          <w:szCs w:val="22"/>
        </w:rPr>
        <w:t xml:space="preserve"> - No caso de alguma inconsistência no descritivo dos itens entre o Edital e o constante na plataforma do pregão Eletrônico, deverá ser considerado o descritivo do Edital.</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7.8</w:t>
      </w:r>
      <w:r>
        <w:rPr>
          <w:rFonts w:eastAsia="Arial" w:cs="Arial" w:ascii="Arial" w:hAnsi="Arial"/>
          <w:color w:val="auto"/>
          <w:sz w:val="22"/>
          <w:szCs w:val="22"/>
        </w:rPr>
        <w:t xml:space="preserve"> - Os documentos listados no item da HABILITAÇÃO deverão ser anexados no sistema juntamente com a proposta, previamente à abertura da sessão pública e sua ausência ensejará em desclassificação.</w:t>
      </w:r>
    </w:p>
    <w:p>
      <w:pPr>
        <w:pStyle w:val="Normal"/>
        <w:tabs>
          <w:tab w:val="clear" w:pos="720"/>
          <w:tab w:val="left" w:pos="3135"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8 – DOS DOCUMENTOS DE HABILITAÇÃO</w:t>
      </w:r>
    </w:p>
    <w:p>
      <w:pPr>
        <w:pStyle w:val="Normal"/>
        <w:tabs>
          <w:tab w:val="clear" w:pos="720"/>
          <w:tab w:val="left" w:pos="3135"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Os licitantes deverão encaminhar, nos termos deste Edital, juntamente com a PROPOSTA, A DOCUMENTAÇÃO DE HABILITAÇÃO, ANTES DA ABERTURA DA SESSÃO PÚBLICA, a seguir informada:</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rPr>
        <w:t>8.1</w:t>
      </w:r>
      <w:r>
        <w:rPr>
          <w:rFonts w:eastAsia="Arial" w:cs="Arial" w:ascii="Arial" w:hAnsi="Arial"/>
          <w:color w:val="auto"/>
          <w:sz w:val="22"/>
          <w:szCs w:val="22"/>
        </w:rPr>
        <w:t xml:space="preserve"> -</w:t>
      </w:r>
      <w:r>
        <w:rPr>
          <w:rFonts w:eastAsia="Arial" w:cs="Arial" w:ascii="Arial" w:hAnsi="Arial"/>
          <w:b/>
          <w:color w:val="auto"/>
          <w:sz w:val="22"/>
          <w:szCs w:val="22"/>
        </w:rPr>
        <w:t xml:space="preserve"> DA HABILITAÇÃO JURÍDICA</w:t>
      </w:r>
    </w:p>
    <w:p>
      <w:pPr>
        <w:pStyle w:val="Normal"/>
        <w:spacing w:lineRule="auto" w:line="360"/>
        <w:jc w:val="both"/>
        <w:rPr>
          <w:color w:val="auto"/>
        </w:rPr>
      </w:pPr>
      <w:r>
        <w:rPr>
          <w:rFonts w:eastAsia="Arial" w:cs="Arial" w:ascii="Arial" w:hAnsi="Arial"/>
          <w:b/>
          <w:color w:val="auto"/>
          <w:sz w:val="22"/>
          <w:szCs w:val="22"/>
        </w:rPr>
        <w:t xml:space="preserve">8.1.1 - </w:t>
      </w:r>
      <w:r>
        <w:rPr>
          <w:rFonts w:eastAsia="Arial" w:cs="Arial" w:ascii="Arial" w:hAnsi="Arial"/>
          <w:color w:val="auto"/>
          <w:sz w:val="22"/>
          <w:szCs w:val="22"/>
        </w:rPr>
        <w:t>registro comercial no caso de firma individual;</w:t>
      </w:r>
    </w:p>
    <w:p>
      <w:pPr>
        <w:pStyle w:val="Normal"/>
        <w:spacing w:lineRule="auto" w:line="360"/>
        <w:jc w:val="both"/>
        <w:rPr>
          <w:color w:val="auto"/>
        </w:rPr>
      </w:pPr>
      <w:r>
        <w:rPr>
          <w:rFonts w:eastAsia="Arial" w:cs="Arial" w:ascii="Arial" w:hAnsi="Arial"/>
          <w:b/>
          <w:color w:val="auto"/>
          <w:sz w:val="22"/>
          <w:szCs w:val="22"/>
        </w:rPr>
        <w:t>8.1.2 -</w:t>
      </w:r>
      <w:r>
        <w:rPr>
          <w:rFonts w:eastAsia="Arial" w:cs="Arial" w:ascii="Arial" w:hAnsi="Arial"/>
          <w:color w:val="auto"/>
          <w:sz w:val="22"/>
          <w:szCs w:val="22"/>
        </w:rPr>
        <w:t xml:space="preserve"> ato constitutivo, estatuto ou contrato social e última alteração (se houver) em vigor, devidamente registrado, </w:t>
      </w:r>
      <w:r>
        <w:rPr>
          <w:rFonts w:eastAsia="Arial" w:cs="Arial" w:ascii="Arial" w:hAnsi="Arial"/>
          <w:b/>
          <w:color w:val="auto"/>
          <w:sz w:val="22"/>
          <w:szCs w:val="22"/>
        </w:rPr>
        <w:t>onde se possa identificar o administrador</w:t>
      </w:r>
      <w:r>
        <w:rPr>
          <w:rFonts w:eastAsia="Arial" w:cs="Arial" w:ascii="Arial" w:hAnsi="Arial"/>
          <w:color w:val="auto"/>
          <w:sz w:val="22"/>
          <w:szCs w:val="22"/>
        </w:rPr>
        <w:t>, em se tratando de sociedades comerciais e no caso de sociedade por ações, acompanhados de documentos que comprovem a eleição de seus administradores;</w:t>
      </w:r>
    </w:p>
    <w:p>
      <w:pPr>
        <w:pStyle w:val="Normal"/>
        <w:spacing w:lineRule="auto" w:line="360"/>
        <w:jc w:val="both"/>
        <w:rPr>
          <w:color w:val="auto"/>
        </w:rPr>
      </w:pPr>
      <w:r>
        <w:rPr>
          <w:rFonts w:eastAsia="Arial" w:cs="Arial" w:ascii="Arial" w:hAnsi="Arial"/>
          <w:b/>
          <w:color w:val="auto"/>
          <w:sz w:val="22"/>
          <w:szCs w:val="22"/>
        </w:rPr>
        <w:t>8.1.3 -</w:t>
      </w:r>
      <w:r>
        <w:rPr>
          <w:rFonts w:eastAsia="Arial" w:cs="Arial" w:ascii="Arial" w:hAnsi="Arial"/>
          <w:color w:val="auto"/>
          <w:sz w:val="22"/>
          <w:szCs w:val="22"/>
        </w:rPr>
        <w:t xml:space="preserve"> comprovante de inscrição do ato constitutivo, no caso de sociedades civis, acompanhado de prova da composição da diretoria em exercício;</w:t>
      </w:r>
    </w:p>
    <w:p>
      <w:pPr>
        <w:pStyle w:val="Normal"/>
        <w:spacing w:lineRule="auto" w:line="360"/>
        <w:jc w:val="both"/>
        <w:rPr>
          <w:color w:val="auto"/>
        </w:rPr>
      </w:pPr>
      <w:r>
        <w:rPr>
          <w:rFonts w:eastAsia="Arial" w:cs="Arial" w:ascii="Arial" w:hAnsi="Arial"/>
          <w:b/>
          <w:color w:val="auto"/>
          <w:sz w:val="22"/>
          <w:szCs w:val="22"/>
        </w:rPr>
        <w:t>8.1.4 -</w:t>
      </w:r>
      <w:r>
        <w:rPr>
          <w:rFonts w:eastAsia="Arial" w:cs="Arial" w:ascii="Arial" w:hAnsi="Arial"/>
          <w:color w:val="auto"/>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rPr>
        <w:t>8.2 - DA REGULARIDADE FISCAL, SOCIAL E TRABALHISTA</w:t>
      </w:r>
    </w:p>
    <w:p>
      <w:pPr>
        <w:pStyle w:val="Normal"/>
        <w:spacing w:lineRule="auto" w:line="360"/>
        <w:ind w:firstLine="570"/>
        <w:jc w:val="both"/>
        <w:rPr>
          <w:color w:val="auto"/>
        </w:rPr>
      </w:pPr>
      <w:r>
        <w:rPr>
          <w:rFonts w:eastAsia="Arial" w:cs="Arial" w:ascii="Arial" w:hAnsi="Arial"/>
          <w:color w:val="auto"/>
          <w:sz w:val="22"/>
          <w:szCs w:val="22"/>
        </w:rPr>
        <w:t>I - a inscrição no Cadastro Nacional da Pessoa Jurídica (CNPJ);</w:t>
      </w:r>
    </w:p>
    <w:p>
      <w:pPr>
        <w:pStyle w:val="Normal"/>
        <w:spacing w:lineRule="auto" w:line="360"/>
        <w:ind w:firstLine="570"/>
        <w:jc w:val="both"/>
        <w:rPr>
          <w:color w:val="auto"/>
        </w:rPr>
      </w:pPr>
      <w:bookmarkStart w:id="0" w:name="bookmark=id.30j0zll"/>
      <w:bookmarkStart w:id="1" w:name="bookmark=id.gjdgxs"/>
      <w:bookmarkEnd w:id="0"/>
      <w:bookmarkEnd w:id="1"/>
      <w:r>
        <w:rPr>
          <w:rFonts w:eastAsia="Arial" w:cs="Arial" w:ascii="Arial" w:hAnsi="Arial"/>
          <w:color w:val="auto"/>
          <w:sz w:val="22"/>
          <w:szCs w:val="22"/>
        </w:rPr>
        <w:t>II - a regularidade perante a Fazenda federal, estadual e municipal do domicílio ou sede do licitante, ou outra equivalente, na forma da lei;</w:t>
      </w:r>
    </w:p>
    <w:p>
      <w:pPr>
        <w:pStyle w:val="Normal"/>
        <w:spacing w:lineRule="auto" w:line="360"/>
        <w:ind w:firstLine="570"/>
        <w:jc w:val="both"/>
        <w:rPr>
          <w:color w:val="auto"/>
        </w:rPr>
      </w:pPr>
      <w:bookmarkStart w:id="2" w:name="bookmark=id.1fob9te"/>
      <w:bookmarkEnd w:id="2"/>
      <w:r>
        <w:rPr>
          <w:rFonts w:eastAsia="Arial" w:cs="Arial" w:ascii="Arial" w:hAnsi="Arial"/>
          <w:color w:val="auto"/>
          <w:sz w:val="22"/>
          <w:szCs w:val="22"/>
        </w:rPr>
        <w:t>III - a regularidade relativa à Seguridade Social e ao FGTS, que demonstre cumprimento dos encargos sociais instituídos por lei;</w:t>
      </w:r>
    </w:p>
    <w:p>
      <w:pPr>
        <w:pStyle w:val="Normal"/>
        <w:spacing w:lineRule="auto" w:line="360"/>
        <w:ind w:firstLine="570"/>
        <w:jc w:val="both"/>
        <w:rPr>
          <w:color w:val="auto"/>
        </w:rPr>
      </w:pPr>
      <w:bookmarkStart w:id="3" w:name="bookmark=id.3znysh7"/>
      <w:bookmarkEnd w:id="3"/>
      <w:r>
        <w:rPr>
          <w:rFonts w:eastAsia="Arial" w:cs="Arial" w:ascii="Arial" w:hAnsi="Arial"/>
          <w:color w:val="auto"/>
          <w:sz w:val="22"/>
          <w:szCs w:val="22"/>
        </w:rPr>
        <w:t>IV - a regularidade perante a Justiça do Trabalho;</w:t>
      </w:r>
    </w:p>
    <w:p>
      <w:pPr>
        <w:pStyle w:val="Normal"/>
        <w:spacing w:lineRule="auto" w:line="360"/>
        <w:ind w:firstLine="570"/>
        <w:jc w:val="both"/>
        <w:rPr/>
      </w:pPr>
      <w:bookmarkStart w:id="4" w:name="bookmark=id.2et92p0"/>
      <w:bookmarkEnd w:id="4"/>
      <w:r>
        <w:rPr>
          <w:rFonts w:eastAsia="Arial" w:cs="Arial" w:ascii="Arial" w:hAnsi="Arial"/>
          <w:color w:val="auto"/>
          <w:sz w:val="22"/>
          <w:szCs w:val="22"/>
        </w:rPr>
        <w:t>V - o cumprimento do disposto no </w:t>
      </w:r>
      <w:r>
        <w:fldChar w:fldCharType="begin"/>
      </w:r>
      <w:r>
        <w:rPr>
          <w:sz w:val="22"/>
          <w:u w:val="single"/>
          <w:szCs w:val="22"/>
          <w:rFonts w:eastAsia="Arial" w:cs="Arial" w:ascii="Arial" w:hAnsi="Arial"/>
          <w:color w:val="auto"/>
        </w:rPr>
        <w:instrText> HYPERLINK "https://www.planalto.gov.br/ccivil_03/Constituicao/Constituicao.htm" \l "art7xxxiii"</w:instrText>
      </w:r>
      <w:r>
        <w:rPr>
          <w:sz w:val="22"/>
          <w:u w:val="single"/>
          <w:szCs w:val="22"/>
          <w:rFonts w:eastAsia="Arial" w:cs="Arial" w:ascii="Arial" w:hAnsi="Arial"/>
          <w:color w:val="auto"/>
        </w:rPr>
        <w:fldChar w:fldCharType="separate"/>
      </w:r>
      <w:r>
        <w:rPr>
          <w:rFonts w:eastAsia="Arial" w:cs="Arial" w:ascii="Arial" w:hAnsi="Arial"/>
          <w:color w:val="auto"/>
          <w:sz w:val="22"/>
          <w:szCs w:val="22"/>
          <w:u w:val="single"/>
        </w:rPr>
        <w:t>inciso XXXIII do art. 7º da Constituição Federal.</w:t>
      </w:r>
      <w:r>
        <w:rPr>
          <w:sz w:val="22"/>
          <w:u w:val="single"/>
          <w:szCs w:val="22"/>
          <w:rFonts w:eastAsia="Arial" w:cs="Arial" w:ascii="Arial" w:hAnsi="Arial"/>
          <w:color w:val="auto"/>
        </w:rPr>
        <w:fldChar w:fldCharType="end"/>
      </w:r>
      <w:r>
        <w:rPr>
          <w:rFonts w:eastAsia="Arial" w:cs="Arial" w:ascii="Arial" w:hAnsi="Arial"/>
          <w:color w:val="auto"/>
          <w:sz w:val="22"/>
          <w:szCs w:val="22"/>
        </w:rPr>
        <w:t>( Que deverá ser comprovado conforme cláusula 5.7 deste Edital.</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Nota 01</w:t>
      </w:r>
      <w:r>
        <w:rPr>
          <w:rFonts w:eastAsia="Arial" w:cs="Arial" w:ascii="Arial" w:hAnsi="Arial"/>
          <w:color w:val="auto"/>
          <w:sz w:val="22"/>
          <w:szCs w:val="22"/>
          <w:highlight w:val="lightGray"/>
        </w:rPr>
        <w:t xml:space="preserve"> - A verificação pelo órgão ou entidade promotora do certame nos sítios eletrônicos oficiais de órgãos e entidades emissores de certidões constitui meio legal de prova, para fins de habilitação.</w:t>
      </w:r>
    </w:p>
    <w:p>
      <w:pPr>
        <w:pStyle w:val="Normal"/>
        <w:spacing w:lineRule="auto" w:line="360"/>
        <w:jc w:val="both"/>
        <w:rPr>
          <w:color w:val="auto"/>
        </w:rPr>
      </w:pPr>
      <w:r>
        <w:rPr>
          <w:rFonts w:eastAsia="Arial" w:cs="Arial" w:ascii="Arial" w:hAnsi="Arial"/>
          <w:b/>
          <w:color w:val="auto"/>
          <w:sz w:val="22"/>
          <w:szCs w:val="22"/>
          <w:highlight w:val="lightGray"/>
        </w:rPr>
        <w:t>Nota 02</w:t>
      </w:r>
      <w:r>
        <w:rPr>
          <w:rFonts w:eastAsia="Arial" w:cs="Arial" w:ascii="Arial" w:hAnsi="Arial"/>
          <w:color w:val="auto"/>
          <w:sz w:val="22"/>
          <w:szCs w:val="22"/>
          <w:highlight w:val="lightGray"/>
        </w:rPr>
        <w:t xml:space="preserve"> - As certidões que não tenham o prazo de validade expresso no documento, ter-se-ão como válidas por 90 (noventa) dias a partir da data de sua emissão.</w:t>
      </w:r>
    </w:p>
    <w:p>
      <w:pPr>
        <w:pStyle w:val="Normal"/>
        <w:spacing w:lineRule="auto" w:line="360"/>
        <w:jc w:val="both"/>
        <w:rPr>
          <w:color w:val="auto"/>
        </w:rPr>
      </w:pPr>
      <w:r>
        <w:rPr>
          <w:rFonts w:eastAsia="Arial" w:cs="Arial" w:ascii="Arial" w:hAnsi="Arial"/>
          <w:b/>
          <w:color w:val="auto"/>
          <w:sz w:val="22"/>
          <w:szCs w:val="22"/>
          <w:highlight w:val="lightGray"/>
        </w:rPr>
        <w:t>Nota 03</w:t>
      </w:r>
      <w:r>
        <w:rPr>
          <w:rFonts w:eastAsia="Arial" w:cs="Arial" w:ascii="Arial" w:hAnsi="Arial"/>
          <w:color w:val="auto"/>
          <w:sz w:val="22"/>
          <w:szCs w:val="22"/>
          <w:highlight w:val="lightGray"/>
        </w:rPr>
        <w:t xml:space="preserve"> – A ausência de anexação de certidão fiscal, social e trabalhista que possam ser conferidas em meio eletrônico não será motivo único para inabilitação do fornecedor, podendo o(a) Pregoeiro(a) realizar a pesquisa eletrônica para fins de análise da regularidade fiscal da empresa.</w:t>
      </w:r>
    </w:p>
    <w:p>
      <w:pPr>
        <w:pStyle w:val="Normal"/>
        <w:spacing w:lineRule="auto" w:line="360"/>
        <w:jc w:val="both"/>
        <w:rPr>
          <w:color w:val="auto"/>
        </w:rPr>
      </w:pPr>
      <w:r>
        <w:rPr>
          <w:rFonts w:eastAsia="Arial" w:cs="Arial" w:ascii="Century Gothic" w:hAnsi="Century Gothic"/>
          <w:b/>
          <w:bCs/>
          <w:color w:val="auto"/>
          <w:sz w:val="22"/>
          <w:szCs w:val="22"/>
          <w:highlight w:val="lightGray"/>
        </w:rPr>
        <w:t>Nota 04</w:t>
      </w:r>
      <w:r>
        <w:rPr>
          <w:rFonts w:eastAsia="Arial" w:cs="Arial" w:ascii="Century Gothic" w:hAnsi="Century Gothic"/>
          <w:color w:val="auto"/>
          <w:sz w:val="22"/>
          <w:szCs w:val="22"/>
          <w:highlight w:val="lightGray"/>
        </w:rPr>
        <w:t xml:space="preserve"> – As microempresas e empresas de pequeno porte, por ocasião da participação em certames licitatórios, deverão apresentar toda a documentação exigida para efeito de comprovação de regularidade fiscal e trabalhista, mesmo que esta apresente alguma restrição. 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bookmarkStart w:id="5" w:name="_Hlk158392848"/>
      <w:bookmarkEnd w:id="5"/>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8.3 - DA REGULARIDADE ECONÔMICA FINANCEIRA</w:t>
      </w:r>
    </w:p>
    <w:p>
      <w:pPr>
        <w:pStyle w:val="Normal"/>
        <w:spacing w:lineRule="auto" w:line="360"/>
        <w:jc w:val="both"/>
        <w:rPr>
          <w:color w:val="auto"/>
        </w:rPr>
      </w:pPr>
      <w:r>
        <w:rPr>
          <w:rFonts w:eastAsia="Arial" w:cs="Arial" w:ascii="Arial" w:hAnsi="Arial"/>
          <w:b/>
          <w:bCs/>
          <w:color w:val="auto"/>
          <w:sz w:val="22"/>
          <w:szCs w:val="22"/>
        </w:rPr>
        <w:t>8.3.1</w:t>
      </w:r>
      <w:r>
        <w:rPr>
          <w:rFonts w:eastAsia="Arial" w:cs="Arial" w:ascii="Arial" w:hAnsi="Arial"/>
          <w:color w:val="auto"/>
          <w:sz w:val="22"/>
          <w:szCs w:val="22"/>
        </w:rPr>
        <w:t xml:space="preserve"> - Certidão negativa de feitos sobre falência expedida pelo distribuidor da sede do licitante.</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bCs/>
          <w:color w:val="auto"/>
          <w:sz w:val="22"/>
          <w:szCs w:val="22"/>
        </w:rPr>
        <w:t>8.4 QUALIFICAÇÃO TÉCNICA</w:t>
      </w:r>
    </w:p>
    <w:p>
      <w:pPr>
        <w:pStyle w:val="Normal"/>
        <w:spacing w:lineRule="auto" w:line="360"/>
        <w:jc w:val="both"/>
        <w:rPr>
          <w:color w:val="auto"/>
        </w:rPr>
      </w:pPr>
      <w:r>
        <w:rPr>
          <w:rFonts w:eastAsia="Arial" w:cs="Arial" w:ascii="Arial" w:hAnsi="Arial"/>
          <w:b/>
          <w:color w:val="auto"/>
          <w:sz w:val="22"/>
          <w:szCs w:val="22"/>
        </w:rPr>
        <w:t>8.4.1</w:t>
      </w:r>
      <w:r>
        <w:rPr>
          <w:rFonts w:eastAsia="Arial" w:cs="Arial" w:ascii="Arial" w:hAnsi="Arial"/>
          <w:color w:val="auto"/>
          <w:sz w:val="22"/>
          <w:szCs w:val="22"/>
        </w:rPr>
        <w:t xml:space="preserve"> - Alvará de licença sanitária vigente, expedido pela unidade competente, da esfera Estadual ou Municipal, da sede da empresa licitante, compatível com o objeto licitado.</w:t>
      </w:r>
    </w:p>
    <w:p>
      <w:pPr>
        <w:pStyle w:val="Normal"/>
        <w:spacing w:lineRule="auto" w:line="360"/>
        <w:jc w:val="both"/>
        <w:rPr>
          <w:color w:val="auto"/>
        </w:rPr>
      </w:pPr>
      <w:r>
        <w:rPr>
          <w:rFonts w:eastAsia="Arial" w:cs="Arial" w:ascii="Arial" w:hAnsi="Arial"/>
          <w:b/>
          <w:color w:val="auto"/>
          <w:sz w:val="22"/>
          <w:szCs w:val="22"/>
        </w:rPr>
        <w:t>8.4.2</w:t>
      </w:r>
      <w:r>
        <w:rPr>
          <w:rFonts w:eastAsia="Arial" w:cs="Arial" w:ascii="Arial" w:hAnsi="Arial"/>
          <w:color w:val="auto"/>
          <w:sz w:val="22"/>
          <w:szCs w:val="22"/>
        </w:rPr>
        <w:t xml:space="preserve"> Autorizações para Funcionamento expedido pela ANVISA para fabricação / envase de gases medicinais, conforme RDC 16, de 01 de abril de 2014 e RDC 32, de 5 de julho de 2011 e suas atualizações;</w:t>
      </w:r>
    </w:p>
    <w:p>
      <w:pPr>
        <w:pStyle w:val="Normal"/>
        <w:spacing w:lineRule="auto" w:line="360"/>
        <w:jc w:val="both"/>
        <w:rPr>
          <w:color w:val="auto"/>
        </w:rPr>
      </w:pPr>
      <w:r>
        <w:rPr>
          <w:rFonts w:eastAsia="Arial" w:cs="Arial" w:ascii="Arial" w:hAnsi="Arial"/>
          <w:b/>
          <w:color w:val="auto"/>
          <w:sz w:val="22"/>
          <w:szCs w:val="22"/>
        </w:rPr>
        <w:t>8.4.3</w:t>
      </w:r>
      <w:r>
        <w:rPr>
          <w:rFonts w:eastAsia="Arial" w:cs="Arial" w:ascii="Arial" w:hAnsi="Arial"/>
          <w:color w:val="auto"/>
          <w:sz w:val="22"/>
          <w:szCs w:val="22"/>
        </w:rPr>
        <w:t xml:space="preserve"> - Apresentar certidão de registro da empresa junto ao Conselho Regional de Química (CRQ) ou ao Conselho Regional de Farmácia (CRF).</w:t>
      </w:r>
    </w:p>
    <w:p>
      <w:pPr>
        <w:pStyle w:val="Normal"/>
        <w:spacing w:lineRule="auto" w:line="360"/>
        <w:jc w:val="both"/>
        <w:rPr>
          <w:color w:val="auto"/>
        </w:rPr>
      </w:pPr>
      <w:r>
        <w:rPr>
          <w:rFonts w:eastAsia="Arial" w:cs="Arial" w:ascii="Arial" w:hAnsi="Arial"/>
          <w:b/>
          <w:color w:val="auto"/>
          <w:sz w:val="22"/>
          <w:szCs w:val="22"/>
        </w:rPr>
        <w:t>8.4.4 -</w:t>
      </w:r>
      <w:r>
        <w:rPr>
          <w:rFonts w:eastAsia="Arial" w:cs="Arial" w:ascii="Arial" w:hAnsi="Arial"/>
          <w:color w:val="auto"/>
          <w:sz w:val="22"/>
          <w:szCs w:val="22"/>
        </w:rPr>
        <w:t xml:space="preserve"> Atestado de Capacidade Técnica, expedido por pessoa jurídica de direito público ou privado, comprovando que a proponente executou de forma satisfatória os serviços ou entregou a contento os produtos licitados.</w:t>
      </w:r>
    </w:p>
    <w:p>
      <w:pPr>
        <w:pStyle w:val="Normal"/>
        <w:spacing w:lineRule="auto" w:line="360"/>
        <w:jc w:val="both"/>
        <w:rPr>
          <w:color w:val="auto"/>
        </w:rPr>
      </w:pPr>
      <w:r>
        <w:rPr>
          <w:rFonts w:eastAsia="Arial" w:cs="Arial" w:ascii="Arial" w:hAnsi="Arial"/>
          <w:b/>
          <w:bCs/>
          <w:color w:val="auto"/>
          <w:sz w:val="22"/>
          <w:szCs w:val="22"/>
        </w:rPr>
        <w:t>8.4.4.1. Atestados emitidos após a vigência da Lei Nacional N° 14.133/2021 (01/01/2024) deverão obedecer ao disposto no art. 88, § 3°.</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9 – DA ABERTURA DA SESSÃO, CLASSIFICAÇÃO DAS PROPOSTAS E FORMULAÇÃO DE LANCES</w:t>
      </w:r>
    </w:p>
    <w:p>
      <w:pPr>
        <w:pStyle w:val="Normal"/>
        <w:spacing w:lineRule="auto" w:line="360"/>
        <w:jc w:val="both"/>
        <w:rPr>
          <w:color w:val="auto"/>
        </w:rPr>
      </w:pPr>
      <w:r>
        <w:rPr>
          <w:rFonts w:eastAsia="Arial" w:cs="Arial" w:ascii="Arial" w:hAnsi="Arial"/>
          <w:b/>
          <w:color w:val="auto"/>
          <w:sz w:val="22"/>
          <w:szCs w:val="22"/>
        </w:rPr>
        <w:t>9.1</w:t>
      </w:r>
      <w:r>
        <w:rPr>
          <w:rFonts w:eastAsia="Arial" w:cs="Arial" w:ascii="Arial" w:hAnsi="Arial"/>
          <w:color w:val="auto"/>
          <w:sz w:val="22"/>
          <w:szCs w:val="22"/>
        </w:rPr>
        <w:t xml:space="preserve"> - A abertura da presente licitação dar-se-á em sessão pública, por meio de sistema eletrônico, na data, horário e local indicados neste Edital.</w:t>
      </w:r>
    </w:p>
    <w:p>
      <w:pPr>
        <w:pStyle w:val="Normal"/>
        <w:spacing w:lineRule="auto" w:line="360"/>
        <w:jc w:val="both"/>
        <w:rPr>
          <w:color w:val="auto"/>
        </w:rPr>
      </w:pPr>
      <w:r>
        <w:rPr>
          <w:rFonts w:eastAsia="Arial" w:cs="Arial" w:ascii="Arial" w:hAnsi="Arial"/>
          <w:b/>
          <w:color w:val="auto"/>
          <w:sz w:val="22"/>
          <w:szCs w:val="22"/>
        </w:rPr>
        <w:t>9.2</w:t>
      </w:r>
      <w:r>
        <w:rPr>
          <w:rFonts w:eastAsia="Arial" w:cs="Arial" w:ascii="Arial" w:hAnsi="Arial"/>
          <w:color w:val="auto"/>
          <w:sz w:val="22"/>
          <w:szCs w:val="22"/>
        </w:rPr>
        <w:t xml:space="preserve"> – O(a) Pregoeiro(a) verificará as propostas apresentadas, desclassificando desde logo aquelas que não estejam em conformidade com os requisitos estabelecidos neste Edital, que contenham vícios insanáveis ou que não apresentem as especificações técnicas exigidas no Termo de Referência.</w:t>
      </w:r>
    </w:p>
    <w:p>
      <w:pPr>
        <w:pStyle w:val="Normal"/>
        <w:spacing w:lineRule="auto" w:line="360"/>
        <w:jc w:val="both"/>
        <w:rPr>
          <w:color w:val="auto"/>
        </w:rPr>
      </w:pPr>
      <w:r>
        <w:rPr>
          <w:rFonts w:eastAsia="Arial" w:cs="Arial" w:ascii="Arial" w:hAnsi="Arial"/>
          <w:b/>
          <w:color w:val="auto"/>
          <w:sz w:val="22"/>
          <w:szCs w:val="22"/>
        </w:rPr>
        <w:t>9.3</w:t>
      </w:r>
      <w:r>
        <w:rPr>
          <w:rFonts w:eastAsia="Arial" w:cs="Arial" w:ascii="Arial" w:hAnsi="Arial"/>
          <w:color w:val="auto"/>
          <w:sz w:val="22"/>
          <w:szCs w:val="22"/>
        </w:rPr>
        <w:t xml:space="preserve"> - Também será desclassificada a proposta que identifique o licitante.</w:t>
      </w:r>
    </w:p>
    <w:p>
      <w:pPr>
        <w:pStyle w:val="Normal"/>
        <w:spacing w:lineRule="auto" w:line="360"/>
        <w:jc w:val="both"/>
        <w:rPr>
          <w:color w:val="auto"/>
        </w:rPr>
      </w:pPr>
      <w:r>
        <w:rPr>
          <w:rFonts w:eastAsia="Arial" w:cs="Arial" w:ascii="Arial" w:hAnsi="Arial"/>
          <w:b/>
          <w:color w:val="auto"/>
          <w:sz w:val="22"/>
          <w:szCs w:val="22"/>
        </w:rPr>
        <w:t>9.4</w:t>
      </w:r>
      <w:r>
        <w:rPr>
          <w:rFonts w:eastAsia="Arial" w:cs="Arial" w:ascii="Arial" w:hAnsi="Arial"/>
          <w:color w:val="auto"/>
          <w:sz w:val="22"/>
          <w:szCs w:val="22"/>
        </w:rPr>
        <w:t xml:space="preserve"> - A desclassificação será sempre fundamentada e registrada no sistema, com acompanhamento em tempo real por todos os participantes.</w:t>
      </w:r>
    </w:p>
    <w:p>
      <w:pPr>
        <w:pStyle w:val="Normal"/>
        <w:spacing w:lineRule="auto" w:line="360"/>
        <w:jc w:val="both"/>
        <w:rPr>
          <w:color w:val="auto"/>
        </w:rPr>
      </w:pPr>
      <w:r>
        <w:rPr>
          <w:rFonts w:eastAsia="Arial" w:cs="Arial" w:ascii="Arial" w:hAnsi="Arial"/>
          <w:b/>
          <w:color w:val="auto"/>
          <w:sz w:val="22"/>
          <w:szCs w:val="22"/>
        </w:rPr>
        <w:t>9.5</w:t>
      </w:r>
      <w:r>
        <w:rPr>
          <w:rFonts w:eastAsia="Arial" w:cs="Arial" w:ascii="Arial" w:hAnsi="Arial"/>
          <w:color w:val="auto"/>
          <w:sz w:val="22"/>
          <w:szCs w:val="22"/>
        </w:rPr>
        <w:t xml:space="preserve"> - A não desclassificação da proposta não impede o seu julgamento definitivo em sentido contrário, levado a efeito na fase de aceitação.</w:t>
      </w:r>
    </w:p>
    <w:p>
      <w:pPr>
        <w:pStyle w:val="Normal"/>
        <w:spacing w:lineRule="auto" w:line="360"/>
        <w:jc w:val="both"/>
        <w:rPr>
          <w:color w:val="auto"/>
        </w:rPr>
      </w:pPr>
      <w:r>
        <w:rPr>
          <w:rFonts w:eastAsia="Arial" w:cs="Arial" w:ascii="Arial" w:hAnsi="Arial"/>
          <w:b/>
          <w:color w:val="auto"/>
          <w:sz w:val="22"/>
          <w:szCs w:val="22"/>
        </w:rPr>
        <w:t>9.6</w:t>
      </w:r>
      <w:r>
        <w:rPr>
          <w:rFonts w:eastAsia="Arial" w:cs="Arial" w:ascii="Arial" w:hAnsi="Arial"/>
          <w:color w:val="auto"/>
          <w:sz w:val="22"/>
          <w:szCs w:val="22"/>
        </w:rPr>
        <w:t xml:space="preserve"> - O sistema ordenará automaticamente as propostas classificadas, sendo que somente estas participarão da fase de lances.</w:t>
      </w:r>
    </w:p>
    <w:p>
      <w:pPr>
        <w:pStyle w:val="Normal"/>
        <w:spacing w:lineRule="auto" w:line="360"/>
        <w:jc w:val="both"/>
        <w:rPr>
          <w:color w:val="auto"/>
        </w:rPr>
      </w:pPr>
      <w:r>
        <w:rPr>
          <w:rFonts w:eastAsia="Arial" w:cs="Arial" w:ascii="Arial" w:hAnsi="Arial"/>
          <w:b/>
          <w:color w:val="auto"/>
          <w:sz w:val="22"/>
          <w:szCs w:val="22"/>
        </w:rPr>
        <w:t>9.7</w:t>
      </w:r>
      <w:r>
        <w:rPr>
          <w:rFonts w:eastAsia="Arial" w:cs="Arial" w:ascii="Arial" w:hAnsi="Arial"/>
          <w:color w:val="auto"/>
          <w:sz w:val="22"/>
          <w:szCs w:val="22"/>
        </w:rPr>
        <w:t xml:space="preserve"> - Iniciada a etapa competitiva, os licitantes deverão encaminhar lances exclusivamente por meio do sistema eletrônico, sendo imediatamente informados do seu recebimento e do valor consignado no registro.</w:t>
      </w:r>
    </w:p>
    <w:p>
      <w:pPr>
        <w:pStyle w:val="Normal"/>
        <w:spacing w:lineRule="auto" w:line="360"/>
        <w:jc w:val="both"/>
        <w:rPr>
          <w:color w:val="auto"/>
        </w:rPr>
      </w:pPr>
      <w:r>
        <w:rPr>
          <w:rFonts w:eastAsia="Arial" w:cs="Arial" w:ascii="Arial" w:hAnsi="Arial"/>
          <w:b/>
          <w:color w:val="auto"/>
          <w:sz w:val="22"/>
          <w:szCs w:val="22"/>
        </w:rPr>
        <w:t>9.8</w:t>
      </w:r>
      <w:r>
        <w:rPr>
          <w:rFonts w:eastAsia="Arial" w:cs="Arial" w:ascii="Arial" w:hAnsi="Arial"/>
          <w:color w:val="auto"/>
          <w:sz w:val="22"/>
          <w:szCs w:val="22"/>
        </w:rPr>
        <w:t xml:space="preserve"> - O lance deverá ser ofertado de acordo com o tipo de licitação indicada no preâmbulo.</w:t>
      </w:r>
    </w:p>
    <w:p>
      <w:pPr>
        <w:pStyle w:val="Normal"/>
        <w:spacing w:lineRule="auto" w:line="360"/>
        <w:jc w:val="both"/>
        <w:rPr>
          <w:color w:val="auto"/>
        </w:rPr>
      </w:pPr>
      <w:r>
        <w:rPr>
          <w:rFonts w:eastAsia="Arial" w:cs="Arial" w:ascii="Arial" w:hAnsi="Arial"/>
          <w:b/>
          <w:color w:val="auto"/>
          <w:sz w:val="22"/>
          <w:szCs w:val="22"/>
        </w:rPr>
        <w:t>9.9</w:t>
      </w:r>
      <w:r>
        <w:rPr>
          <w:rFonts w:eastAsia="Arial" w:cs="Arial" w:ascii="Arial" w:hAnsi="Arial"/>
          <w:color w:val="auto"/>
          <w:sz w:val="22"/>
          <w:szCs w:val="22"/>
        </w:rPr>
        <w:t xml:space="preserve"> - Os licitantes poderão oferecer lances sucessivos, observando o horário fixado para abertura da sessão e as regras estabelecidas no Edital.</w:t>
      </w:r>
    </w:p>
    <w:p>
      <w:pPr>
        <w:pStyle w:val="Normal"/>
        <w:spacing w:lineRule="auto" w:line="360"/>
        <w:jc w:val="both"/>
        <w:rPr>
          <w:color w:val="auto"/>
        </w:rPr>
      </w:pPr>
      <w:r>
        <w:rPr>
          <w:rFonts w:eastAsia="Arial" w:cs="Arial" w:ascii="Arial" w:hAnsi="Arial"/>
          <w:b/>
          <w:color w:val="auto"/>
          <w:sz w:val="22"/>
          <w:szCs w:val="22"/>
        </w:rPr>
        <w:t>9.10</w:t>
      </w:r>
      <w:r>
        <w:rPr>
          <w:rFonts w:eastAsia="Arial" w:cs="Arial" w:ascii="Arial" w:hAnsi="Arial"/>
          <w:color w:val="auto"/>
          <w:sz w:val="22"/>
          <w:szCs w:val="22"/>
        </w:rPr>
        <w:t xml:space="preserve"> - O licitante somente poderá oferecer lance de valor inferior ou percentual de desconto superior ao último por ele ofertado e registrado pelo sistema.</w:t>
      </w:r>
    </w:p>
    <w:p>
      <w:pPr>
        <w:pStyle w:val="Normal"/>
        <w:spacing w:lineRule="auto" w:line="360"/>
        <w:jc w:val="both"/>
        <w:rPr>
          <w:color w:val="auto"/>
        </w:rPr>
      </w:pPr>
      <w:r>
        <w:rPr>
          <w:rFonts w:eastAsia="Arial" w:cs="Arial" w:ascii="Arial" w:hAnsi="Arial"/>
          <w:b/>
          <w:color w:val="auto"/>
          <w:sz w:val="22"/>
          <w:szCs w:val="22"/>
        </w:rPr>
        <w:t>9.11</w:t>
      </w:r>
      <w:r>
        <w:rPr>
          <w:rFonts w:eastAsia="Arial" w:cs="Arial" w:ascii="Arial" w:hAnsi="Arial"/>
          <w:color w:val="auto"/>
          <w:sz w:val="22"/>
          <w:szCs w:val="22"/>
        </w:rPr>
        <w:t xml:space="preserve"> - O intervalo mínimo de diferença de valores entre os lances, que incidirá tanto em relação aos lances intermediários quanto em relação à proposta que cobrir a melhor oferta deverá ser de R$ 2,00 (dois reais).</w:t>
      </w:r>
    </w:p>
    <w:p>
      <w:pPr>
        <w:pStyle w:val="Normal"/>
        <w:spacing w:lineRule="auto" w:line="360"/>
        <w:jc w:val="both"/>
        <w:rPr>
          <w:color w:val="auto"/>
        </w:rPr>
      </w:pPr>
      <w:r>
        <w:rPr>
          <w:rFonts w:eastAsia="Arial" w:cs="Arial" w:ascii="Arial" w:hAnsi="Arial"/>
          <w:b/>
          <w:color w:val="auto"/>
          <w:sz w:val="22"/>
          <w:szCs w:val="22"/>
        </w:rPr>
        <w:t>9.12</w:t>
      </w:r>
      <w:r>
        <w:rPr>
          <w:rFonts w:eastAsia="Arial" w:cs="Arial" w:ascii="Arial" w:hAnsi="Arial"/>
          <w:color w:val="auto"/>
          <w:sz w:val="22"/>
          <w:szCs w:val="22"/>
        </w:rPr>
        <w:t xml:space="preserve"> - Será adotado para o envio de lances no pregão eletrônico o modo de disputa “</w:t>
      </w:r>
      <w:r>
        <w:rPr>
          <w:rFonts w:eastAsia="Arial" w:cs="Arial" w:ascii="Arial" w:hAnsi="Arial"/>
          <w:b/>
          <w:color w:val="auto"/>
          <w:sz w:val="22"/>
          <w:szCs w:val="22"/>
        </w:rPr>
        <w:t>aberto”</w:t>
      </w:r>
      <w:r>
        <w:rPr>
          <w:rFonts w:eastAsia="Arial" w:cs="Arial" w:ascii="Arial" w:hAnsi="Arial"/>
          <w:color w:val="auto"/>
          <w:sz w:val="22"/>
          <w:szCs w:val="22"/>
        </w:rPr>
        <w:t>.</w:t>
      </w:r>
    </w:p>
    <w:p>
      <w:pPr>
        <w:pStyle w:val="Normal"/>
        <w:spacing w:lineRule="auto" w:line="360"/>
        <w:jc w:val="both"/>
        <w:rPr>
          <w:color w:val="auto"/>
        </w:rPr>
      </w:pPr>
      <w:r>
        <w:rPr>
          <w:rFonts w:eastAsia="Arial" w:cs="Arial" w:ascii="Arial" w:hAnsi="Arial"/>
          <w:b/>
          <w:color w:val="auto"/>
          <w:sz w:val="22"/>
          <w:szCs w:val="22"/>
        </w:rPr>
        <w:t xml:space="preserve">9.13 </w:t>
      </w:r>
      <w:r>
        <w:rPr>
          <w:rFonts w:eastAsia="Arial" w:cs="Arial" w:ascii="Arial" w:hAnsi="Arial"/>
          <w:color w:val="auto"/>
          <w:sz w:val="22"/>
          <w:szCs w:val="22"/>
        </w:rPr>
        <w:t>–</w:t>
      </w:r>
      <w:r>
        <w:rPr>
          <w:rFonts w:eastAsia="Arial" w:cs="Arial" w:ascii="Arial" w:hAnsi="Arial"/>
          <w:b/>
          <w:color w:val="auto"/>
          <w:sz w:val="22"/>
          <w:szCs w:val="22"/>
        </w:rPr>
        <w:t xml:space="preserve"> O modo de disputa aberto seguirá a seguinte ordem de etapas: </w:t>
      </w:r>
    </w:p>
    <w:p>
      <w:pPr>
        <w:pStyle w:val="Normal"/>
        <w:spacing w:lineRule="auto" w:line="360"/>
        <w:jc w:val="both"/>
        <w:rPr>
          <w:color w:val="auto"/>
        </w:rPr>
      </w:pPr>
      <w:r>
        <w:rPr>
          <w:rFonts w:eastAsia="Arial" w:cs="Arial" w:ascii="Arial" w:hAnsi="Arial"/>
          <w:b/>
          <w:color w:val="auto"/>
          <w:sz w:val="22"/>
          <w:szCs w:val="22"/>
        </w:rPr>
        <w:t>9.13.1</w:t>
      </w:r>
      <w:r>
        <w:rPr>
          <w:rFonts w:eastAsia="Arial" w:cs="Arial" w:ascii="Arial" w:hAnsi="Arial"/>
          <w:color w:val="auto"/>
          <w:sz w:val="22"/>
          <w:szCs w:val="22"/>
        </w:rPr>
        <w:t xml:space="preserve"> - A etapa de envio de lances da sessão pública terá duração de 10 (dez) minutos;</w:t>
      </w:r>
    </w:p>
    <w:p>
      <w:pPr>
        <w:pStyle w:val="Normal"/>
        <w:spacing w:lineRule="auto" w:line="360"/>
        <w:jc w:val="both"/>
        <w:rPr>
          <w:color w:val="auto"/>
        </w:rPr>
      </w:pPr>
      <w:r>
        <w:rPr>
          <w:rFonts w:eastAsia="Arial" w:cs="Arial" w:ascii="Arial" w:hAnsi="Arial"/>
          <w:b/>
          <w:color w:val="auto"/>
          <w:sz w:val="22"/>
          <w:szCs w:val="22"/>
        </w:rPr>
        <w:t>9.13.1.1</w:t>
      </w:r>
      <w:r>
        <w:rPr>
          <w:rFonts w:eastAsia="Arial" w:cs="Arial" w:ascii="Arial" w:hAnsi="Arial"/>
          <w:color w:val="auto"/>
          <w:sz w:val="22"/>
          <w:szCs w:val="22"/>
        </w:rPr>
        <w:t xml:space="preserve"> - Ocorrerá prorrogação automática da etapa de envio de lances, de que trata a cláusula 9.13.1, de 2 (dois) minutos e será de forma sucessiva sempre que houver lances enviados nesse período de prorrogação, inclusive quando se tratar de lances intermediários.</w:t>
      </w:r>
    </w:p>
    <w:p>
      <w:pPr>
        <w:pStyle w:val="Normal"/>
        <w:spacing w:lineRule="auto" w:line="360"/>
        <w:jc w:val="both"/>
        <w:rPr>
          <w:color w:val="auto"/>
        </w:rPr>
      </w:pPr>
      <w:r>
        <w:rPr>
          <w:rFonts w:eastAsia="Arial" w:cs="Arial" w:ascii="Arial" w:hAnsi="Arial"/>
          <w:b/>
          <w:color w:val="auto"/>
          <w:sz w:val="22"/>
          <w:szCs w:val="22"/>
        </w:rPr>
        <w:t>9.13.1.2</w:t>
      </w:r>
      <w:r>
        <w:rPr>
          <w:rFonts w:eastAsia="Arial" w:cs="Arial" w:ascii="Arial" w:hAnsi="Arial"/>
          <w:color w:val="auto"/>
          <w:sz w:val="22"/>
          <w:szCs w:val="22"/>
        </w:rPr>
        <w:t xml:space="preserve"> - Na hipótese de não haver novos lances na forma estabelecida na cláusula 9.13.1.1, a etapa será encerrada automaticamente, e o sistema ordenará e divulgará os lances.</w:t>
      </w:r>
    </w:p>
    <w:p>
      <w:pPr>
        <w:pStyle w:val="Normal"/>
        <w:spacing w:lineRule="auto" w:line="360"/>
        <w:jc w:val="both"/>
        <w:rPr>
          <w:color w:val="auto"/>
        </w:rPr>
      </w:pPr>
      <w:r>
        <w:rPr>
          <w:rFonts w:eastAsia="Arial" w:cs="Arial" w:ascii="Arial" w:hAnsi="Arial"/>
          <w:b/>
          <w:color w:val="auto"/>
          <w:sz w:val="22"/>
          <w:szCs w:val="22"/>
        </w:rPr>
        <w:t>9.13.2</w:t>
      </w:r>
      <w:r>
        <w:rPr>
          <w:rFonts w:eastAsia="Arial" w:cs="Arial" w:ascii="Arial" w:hAnsi="Arial"/>
          <w:color w:val="auto"/>
          <w:sz w:val="22"/>
          <w:szCs w:val="22"/>
        </w:rPr>
        <w:t xml:space="preserve"> - Definida a melhor proposta, se a diferença em relação à proposta classificada em segundo lugar for de pelo menos 5% (cinco por cento), o(a) Pregoeiro(a), Agente de Contratação ou a Comissão de Contratação, quando o substituir, auxiliado pela equipe de apoio, poderá admitir o reinício da disputa aberta, nos termos estabelecidos no edital de licitação, para a definição das demais colocações.</w:t>
      </w:r>
    </w:p>
    <w:p>
      <w:pPr>
        <w:pStyle w:val="Normal"/>
        <w:spacing w:lineRule="auto" w:line="360"/>
        <w:jc w:val="both"/>
        <w:rPr>
          <w:color w:val="auto"/>
        </w:rPr>
      </w:pPr>
      <w:r>
        <w:rPr>
          <w:rFonts w:eastAsia="Arial" w:cs="Arial" w:ascii="Arial" w:hAnsi="Arial"/>
          <w:b/>
          <w:color w:val="auto"/>
          <w:sz w:val="22"/>
          <w:szCs w:val="22"/>
        </w:rPr>
        <w:t>9.13.3</w:t>
      </w:r>
      <w:r>
        <w:rPr>
          <w:rFonts w:eastAsia="Arial" w:cs="Arial" w:ascii="Arial" w:hAnsi="Arial"/>
          <w:color w:val="auto"/>
          <w:sz w:val="22"/>
          <w:szCs w:val="22"/>
        </w:rPr>
        <w:t xml:space="preserve"> - Após o reinício previsto na Cláusula 9.13.2, os licitantes serão convocados para apresentar lances intermediários.</w:t>
      </w:r>
    </w:p>
    <w:p>
      <w:pPr>
        <w:pStyle w:val="Normal"/>
        <w:spacing w:lineRule="auto" w:line="360"/>
        <w:jc w:val="both"/>
        <w:rPr>
          <w:color w:val="auto"/>
        </w:rPr>
      </w:pPr>
      <w:r>
        <w:rPr>
          <w:rFonts w:eastAsia="Arial" w:cs="Arial" w:ascii="Arial" w:hAnsi="Arial"/>
          <w:b/>
          <w:color w:val="auto"/>
          <w:sz w:val="22"/>
          <w:szCs w:val="22"/>
        </w:rPr>
        <w:t>9.13.4</w:t>
      </w:r>
      <w:r>
        <w:rPr>
          <w:rFonts w:eastAsia="Arial" w:cs="Arial" w:ascii="Arial" w:hAnsi="Arial"/>
          <w:color w:val="auto"/>
          <w:sz w:val="22"/>
          <w:szCs w:val="22"/>
        </w:rPr>
        <w:t xml:space="preserve"> - Encerrada a etapa de que trata a Cláusula 9.13.3, o sistema ordenará e divulgará os lances.</w:t>
      </w:r>
    </w:p>
    <w:p>
      <w:pPr>
        <w:pStyle w:val="Normal"/>
        <w:spacing w:lineRule="auto" w:line="360"/>
        <w:jc w:val="both"/>
        <w:rPr>
          <w:color w:val="auto"/>
        </w:rPr>
      </w:pPr>
      <w:r>
        <w:rPr>
          <w:rFonts w:eastAsia="Arial" w:cs="Arial" w:ascii="Arial" w:hAnsi="Arial"/>
          <w:b/>
          <w:color w:val="auto"/>
          <w:sz w:val="22"/>
          <w:szCs w:val="22"/>
        </w:rPr>
        <w:t>9.14</w:t>
      </w:r>
      <w:r>
        <w:rPr>
          <w:rFonts w:eastAsia="Arial" w:cs="Arial" w:ascii="Arial" w:hAnsi="Arial"/>
          <w:color w:val="auto"/>
          <w:sz w:val="22"/>
          <w:szCs w:val="22"/>
        </w:rPr>
        <w:t xml:space="preserve"> - Em caso de falha no sistema, os lances em desacordo com os subitens anteriores deverão ser desconsiderados pelo(a) Pregoeiro(a).</w:t>
      </w:r>
    </w:p>
    <w:p>
      <w:pPr>
        <w:pStyle w:val="Normal"/>
        <w:spacing w:lineRule="auto" w:line="360"/>
        <w:jc w:val="both"/>
        <w:rPr>
          <w:color w:val="auto"/>
        </w:rPr>
      </w:pPr>
      <w:r>
        <w:rPr>
          <w:rFonts w:eastAsia="Arial" w:cs="Arial" w:ascii="Arial" w:hAnsi="Arial"/>
          <w:b/>
          <w:color w:val="auto"/>
          <w:sz w:val="22"/>
          <w:szCs w:val="22"/>
        </w:rPr>
        <w:t>9.15 - Não serão aceitos dois ou mais lances de mesmo valor, prevalecendo aquele que for recebido e registrado primeiro.</w:t>
      </w:r>
    </w:p>
    <w:p>
      <w:pPr>
        <w:pStyle w:val="Normal"/>
        <w:spacing w:lineRule="auto" w:line="360"/>
        <w:jc w:val="both"/>
        <w:rPr>
          <w:color w:val="auto"/>
        </w:rPr>
      </w:pPr>
      <w:r>
        <w:rPr>
          <w:rFonts w:eastAsia="Arial" w:cs="Arial" w:ascii="Arial" w:hAnsi="Arial"/>
          <w:b/>
          <w:color w:val="auto"/>
          <w:sz w:val="22"/>
          <w:szCs w:val="22"/>
        </w:rPr>
        <w:t>9.16</w:t>
      </w:r>
      <w:r>
        <w:rPr>
          <w:rFonts w:eastAsia="Arial" w:cs="Arial" w:ascii="Arial" w:hAnsi="Arial"/>
          <w:color w:val="auto"/>
          <w:sz w:val="22"/>
          <w:szCs w:val="22"/>
        </w:rPr>
        <w:t xml:space="preserve"> -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spacing w:lineRule="auto" w:line="360"/>
        <w:jc w:val="both"/>
        <w:rPr>
          <w:color w:val="auto"/>
        </w:rPr>
      </w:pPr>
      <w:r>
        <w:rPr>
          <w:rFonts w:eastAsia="Arial" w:cs="Arial" w:ascii="Arial" w:hAnsi="Arial"/>
          <w:b/>
          <w:color w:val="auto"/>
          <w:sz w:val="22"/>
          <w:szCs w:val="22"/>
        </w:rPr>
        <w:t>9.17</w:t>
      </w:r>
      <w:r>
        <w:rPr>
          <w:rFonts w:eastAsia="Arial" w:cs="Arial" w:ascii="Arial" w:hAnsi="Arial"/>
          <w:color w:val="auto"/>
          <w:sz w:val="22"/>
          <w:szCs w:val="22"/>
        </w:rPr>
        <w:t xml:space="preserve"> - Em caso de falha no sistema, os lances em desacordo com os subitens anteriores deverão ser desconsiderados pelo(a) Pregoeiro(a).</w:t>
      </w:r>
    </w:p>
    <w:p>
      <w:pPr>
        <w:pStyle w:val="Normal"/>
        <w:spacing w:lineRule="auto" w:line="360"/>
        <w:jc w:val="both"/>
        <w:rPr>
          <w:color w:val="auto"/>
        </w:rPr>
      </w:pPr>
      <w:r>
        <w:rPr>
          <w:rFonts w:eastAsia="Arial" w:cs="Arial" w:ascii="Arial" w:hAnsi="Arial"/>
          <w:b/>
          <w:color w:val="auto"/>
          <w:sz w:val="22"/>
          <w:szCs w:val="22"/>
        </w:rPr>
        <w:t>9.18</w:t>
      </w:r>
      <w:r>
        <w:rPr>
          <w:rFonts w:eastAsia="Arial" w:cs="Arial" w:ascii="Arial" w:hAnsi="Arial"/>
          <w:color w:val="auto"/>
          <w:sz w:val="22"/>
          <w:szCs w:val="22"/>
        </w:rPr>
        <w:t xml:space="preserve"> - Não serão aceitos dois ou mais lances de mesmo valor, prevalecendo aquele que for recebido e registrado primeiro.</w:t>
      </w:r>
    </w:p>
    <w:p>
      <w:pPr>
        <w:pStyle w:val="Normal"/>
        <w:spacing w:lineRule="auto" w:line="360"/>
        <w:jc w:val="both"/>
        <w:rPr>
          <w:color w:val="auto"/>
        </w:rPr>
      </w:pPr>
      <w:r>
        <w:rPr>
          <w:rFonts w:eastAsia="Arial" w:cs="Arial" w:ascii="Arial" w:hAnsi="Arial"/>
          <w:b/>
          <w:color w:val="auto"/>
          <w:sz w:val="22"/>
          <w:szCs w:val="22"/>
        </w:rPr>
        <w:t>9.19</w:t>
      </w:r>
      <w:r>
        <w:rPr>
          <w:rFonts w:eastAsia="Arial" w:cs="Arial" w:ascii="Arial" w:hAnsi="Arial"/>
          <w:color w:val="auto"/>
          <w:sz w:val="22"/>
          <w:szCs w:val="22"/>
        </w:rPr>
        <w:t xml:space="preserve"> - Durante o transcurso da sessão pública, os licitantes serão informados, em tempo real, do valor do menor lance registrado, vedada a identificação do licitante.</w:t>
      </w:r>
    </w:p>
    <w:p>
      <w:pPr>
        <w:pStyle w:val="Normal"/>
        <w:spacing w:lineRule="auto" w:line="360"/>
        <w:jc w:val="both"/>
        <w:rPr>
          <w:color w:val="auto"/>
        </w:rPr>
      </w:pPr>
      <w:r>
        <w:rPr>
          <w:rFonts w:eastAsia="Arial" w:cs="Arial" w:ascii="Arial" w:hAnsi="Arial"/>
          <w:b/>
          <w:color w:val="auto"/>
          <w:sz w:val="22"/>
          <w:szCs w:val="22"/>
        </w:rPr>
        <w:t>9.20</w:t>
      </w:r>
      <w:r>
        <w:rPr>
          <w:rFonts w:eastAsia="Arial" w:cs="Arial" w:ascii="Arial" w:hAnsi="Arial"/>
          <w:color w:val="auto"/>
          <w:sz w:val="22"/>
          <w:szCs w:val="22"/>
        </w:rPr>
        <w:t xml:space="preserve"> - No caso de desconexão com o(a) Pregoeiro(a), no decorrer da etapa competitiva do Pregão, o sistema eletrônico poderá permanecer acessível aos licitantes para a recepção dos lances.</w:t>
      </w:r>
    </w:p>
    <w:p>
      <w:pPr>
        <w:pStyle w:val="Normal"/>
        <w:spacing w:lineRule="auto" w:line="360"/>
        <w:jc w:val="both"/>
        <w:rPr>
          <w:color w:val="auto"/>
        </w:rPr>
      </w:pPr>
      <w:r>
        <w:rPr>
          <w:rFonts w:eastAsia="Arial" w:cs="Arial" w:ascii="Arial" w:hAnsi="Arial"/>
          <w:b/>
          <w:color w:val="auto"/>
          <w:sz w:val="22"/>
          <w:szCs w:val="22"/>
        </w:rPr>
        <w:t>9.21</w:t>
      </w:r>
      <w:r>
        <w:rPr>
          <w:rFonts w:eastAsia="Arial" w:cs="Arial" w:ascii="Arial" w:hAnsi="Arial"/>
          <w:color w:val="auto"/>
          <w:sz w:val="22"/>
          <w:szCs w:val="22"/>
        </w:rPr>
        <w:t xml:space="preserve"> - Quando a desconexão do sistema eletrônico para o(a) Pregoeiro(a) persistir por tempo superior a dez minutos, a sessão pública será suspensa e reiniciada somente após decorridas vinte e quatro horas da comunicação do fato pelo(a) Pregoeiro(a) aos participantes, no sítio eletrônico utilizado para divulgação.</w:t>
      </w:r>
    </w:p>
    <w:p>
      <w:pPr>
        <w:pStyle w:val="Normal"/>
        <w:spacing w:lineRule="auto" w:line="360"/>
        <w:jc w:val="both"/>
        <w:rPr>
          <w:color w:val="auto"/>
        </w:rPr>
      </w:pPr>
      <w:r>
        <w:rPr>
          <w:rFonts w:eastAsia="Arial" w:cs="Arial" w:ascii="Arial" w:hAnsi="Arial"/>
          <w:b/>
          <w:color w:val="auto"/>
          <w:sz w:val="22"/>
          <w:szCs w:val="22"/>
        </w:rPr>
        <w:t>9.22</w:t>
      </w:r>
      <w:r>
        <w:rPr>
          <w:rFonts w:eastAsia="Arial" w:cs="Arial" w:ascii="Arial" w:hAnsi="Arial"/>
          <w:color w:val="auto"/>
          <w:sz w:val="22"/>
          <w:szCs w:val="22"/>
        </w:rPr>
        <w:t xml:space="preserve"> - Caso o licitante não apresente lances, concorrerá com o valor de sua proposta.</w:t>
      </w:r>
    </w:p>
    <w:p>
      <w:pPr>
        <w:pStyle w:val="Normal"/>
        <w:spacing w:lineRule="auto" w:line="360"/>
        <w:jc w:val="both"/>
        <w:rPr>
          <w:color w:val="auto"/>
        </w:rPr>
      </w:pPr>
      <w:r>
        <w:rPr>
          <w:rFonts w:eastAsia="Arial" w:cs="Arial" w:ascii="Arial" w:hAnsi="Arial"/>
          <w:b/>
          <w:color w:val="auto"/>
          <w:sz w:val="22"/>
          <w:szCs w:val="22"/>
        </w:rPr>
        <w:t>9.23</w:t>
      </w:r>
      <w:r>
        <w:rPr>
          <w:rFonts w:eastAsia="Arial" w:cs="Arial" w:ascii="Arial" w:hAnsi="Arial"/>
          <w:color w:val="auto"/>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Decreto Federal 8.538/2015.</w:t>
      </w:r>
    </w:p>
    <w:p>
      <w:pPr>
        <w:pStyle w:val="Normal"/>
        <w:spacing w:lineRule="auto" w:line="360"/>
        <w:jc w:val="both"/>
        <w:rPr>
          <w:color w:val="auto"/>
        </w:rPr>
      </w:pPr>
      <w:r>
        <w:rPr>
          <w:rFonts w:eastAsia="Arial" w:cs="Arial" w:ascii="Arial" w:hAnsi="Arial"/>
          <w:b/>
          <w:color w:val="auto"/>
          <w:sz w:val="22"/>
          <w:szCs w:val="22"/>
        </w:rPr>
        <w:t>9.24</w:t>
      </w:r>
      <w:r>
        <w:rPr>
          <w:rFonts w:eastAsia="Arial" w:cs="Arial" w:ascii="Arial" w:hAnsi="Arial"/>
          <w:color w:val="auto"/>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pPr>
        <w:pStyle w:val="Normal"/>
        <w:spacing w:lineRule="auto" w:line="360"/>
        <w:jc w:val="both"/>
        <w:rPr>
          <w:color w:val="auto"/>
        </w:rPr>
      </w:pPr>
      <w:r>
        <w:rPr>
          <w:rFonts w:eastAsia="Arial" w:cs="Arial" w:ascii="Arial" w:hAnsi="Arial"/>
          <w:b/>
          <w:color w:val="auto"/>
          <w:sz w:val="22"/>
          <w:szCs w:val="22"/>
        </w:rPr>
        <w:t>9.25</w:t>
      </w:r>
      <w:r>
        <w:rPr>
          <w:rFonts w:eastAsia="Arial" w:cs="Arial" w:ascii="Arial" w:hAnsi="Arial"/>
          <w:color w:val="auto"/>
          <w:sz w:val="22"/>
          <w:szCs w:val="22"/>
        </w:rPr>
        <w:t xml:space="preserve">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spacing w:lineRule="auto" w:line="360"/>
        <w:jc w:val="both"/>
        <w:rPr>
          <w:color w:val="auto"/>
        </w:rPr>
      </w:pPr>
      <w:r>
        <w:rPr>
          <w:rFonts w:eastAsia="Arial" w:cs="Arial" w:ascii="Arial" w:hAnsi="Arial"/>
          <w:b/>
          <w:color w:val="auto"/>
          <w:sz w:val="22"/>
          <w:szCs w:val="22"/>
        </w:rPr>
        <w:t>9.26</w:t>
      </w:r>
      <w:r>
        <w:rPr>
          <w:rFonts w:eastAsia="Arial" w:cs="Arial" w:ascii="Arial" w:hAnsi="Arial"/>
          <w:color w:val="auto"/>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pPr>
        <w:pStyle w:val="Normal"/>
        <w:spacing w:lineRule="auto" w:line="360"/>
        <w:jc w:val="both"/>
        <w:rPr>
          <w:color w:val="auto"/>
        </w:rPr>
      </w:pPr>
      <w:r>
        <w:rPr>
          <w:rFonts w:eastAsia="Arial" w:cs="Arial" w:ascii="Arial" w:hAnsi="Arial"/>
          <w:b/>
          <w:color w:val="auto"/>
          <w:sz w:val="22"/>
          <w:szCs w:val="22"/>
        </w:rPr>
        <w:t>9.27</w:t>
      </w:r>
      <w:r>
        <w:rPr>
          <w:rFonts w:eastAsia="Arial" w:cs="Arial" w:ascii="Arial" w:hAnsi="Arial"/>
          <w:color w:val="auto"/>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spacing w:lineRule="auto" w:line="360"/>
        <w:jc w:val="both"/>
        <w:rPr>
          <w:color w:val="auto"/>
        </w:rPr>
      </w:pPr>
      <w:r>
        <w:rPr>
          <w:rFonts w:eastAsia="Arial" w:cs="Arial" w:ascii="Arial" w:hAnsi="Arial"/>
          <w:b/>
          <w:color w:val="auto"/>
          <w:sz w:val="22"/>
          <w:szCs w:val="22"/>
        </w:rPr>
        <w:t>9.28</w:t>
      </w:r>
      <w:r>
        <w:rPr>
          <w:rFonts w:eastAsia="Arial" w:cs="Arial" w:ascii="Arial" w:hAnsi="Arial"/>
          <w:color w:val="auto"/>
          <w:sz w:val="22"/>
          <w:szCs w:val="22"/>
        </w:rPr>
        <w:t xml:space="preserve"> - A ordem de apresentação pelos licitantes é utilizada como um dos critérios de classificação, de maneira que só poderá haver empate entre propostas iguais (não seguidas de lances).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9.29</w:t>
      </w:r>
      <w:r>
        <w:rPr>
          <w:rFonts w:eastAsia="Arial" w:cs="Arial" w:ascii="Arial" w:hAnsi="Arial"/>
          <w:color w:val="auto"/>
          <w:sz w:val="22"/>
          <w:szCs w:val="22"/>
        </w:rPr>
        <w:t xml:space="preserve"> - Havendo eventual empate entre propostas ou lances, o critério de desempate será aquele previsto no art. 60 da Lei nº 14.133/21, assegurando-se a preferência, sucessivamente, aos bens e serviços: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 xml:space="preserve">9.29.1 </w:t>
      </w:r>
      <w:r>
        <w:rPr>
          <w:rFonts w:eastAsia="Arial" w:cs="Arial" w:ascii="Arial" w:hAnsi="Arial"/>
          <w:color w:val="auto"/>
          <w:sz w:val="22"/>
          <w:szCs w:val="22"/>
        </w:rPr>
        <w:t>-</w:t>
      </w:r>
      <w:r>
        <w:rPr>
          <w:rFonts w:eastAsia="Arial" w:cs="Arial" w:ascii="Arial" w:hAnsi="Arial"/>
          <w:b/>
          <w:color w:val="auto"/>
          <w:sz w:val="22"/>
          <w:szCs w:val="22"/>
        </w:rPr>
        <w:t xml:space="preserve"> </w:t>
      </w:r>
      <w:r>
        <w:rPr>
          <w:rFonts w:eastAsia="Arial" w:cs="Arial" w:ascii="Arial" w:hAnsi="Arial"/>
          <w:color w:val="auto"/>
          <w:sz w:val="22"/>
          <w:szCs w:val="22"/>
        </w:rPr>
        <w:t>Disputa final, hipótese em que os licitantes empatados poderão apresentar nova proposta em ato contínuo à classificação;</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9.29.2</w:t>
      </w:r>
      <w:r>
        <w:rPr>
          <w:rFonts w:eastAsia="Arial" w:cs="Arial" w:ascii="Arial" w:hAnsi="Arial"/>
          <w:color w:val="auto"/>
          <w:sz w:val="22"/>
          <w:szCs w:val="22"/>
        </w:rPr>
        <w:t xml:space="preserve"> - Avaliação do desempenho contratual prévio dos licitantes, para a qual deverão preferencialmente ser utilizados registros cadastrais para efeito de atesto de cumprimento de obrigações previstos nesta Lei;</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 xml:space="preserve">9.29.3 </w:t>
      </w:r>
      <w:r>
        <w:rPr>
          <w:rFonts w:eastAsia="Arial" w:cs="Arial" w:ascii="Arial" w:hAnsi="Arial"/>
          <w:color w:val="auto"/>
          <w:sz w:val="22"/>
          <w:szCs w:val="22"/>
        </w:rPr>
        <w:t>- Desenvolvimento pelo licitante de ações de equidade entre homens e mulheres no ambiente de trabalho, conforme regulamento;</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9.29.4</w:t>
      </w:r>
      <w:r>
        <w:rPr>
          <w:rFonts w:eastAsia="Arial" w:cs="Arial" w:ascii="Arial" w:hAnsi="Arial"/>
          <w:color w:val="auto"/>
          <w:sz w:val="22"/>
          <w:szCs w:val="22"/>
        </w:rPr>
        <w:t xml:space="preserve"> - Desenvolvimento pelo licitante de programa de integridade, conforme orientações dos órgãos de controle.</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9.29.5</w:t>
      </w:r>
      <w:r>
        <w:rPr>
          <w:rFonts w:eastAsia="Arial" w:cs="Arial" w:ascii="Arial" w:hAnsi="Arial"/>
          <w:color w:val="auto"/>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9.29.6</w:t>
      </w:r>
      <w:r>
        <w:rPr>
          <w:rFonts w:eastAsia="Arial" w:cs="Arial" w:ascii="Arial" w:hAnsi="Arial"/>
          <w:color w:val="auto"/>
          <w:sz w:val="22"/>
          <w:szCs w:val="22"/>
        </w:rPr>
        <w:t xml:space="preserve"> - Empresas brasileiras;</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9.29.7</w:t>
      </w:r>
      <w:r>
        <w:rPr>
          <w:rFonts w:eastAsia="Arial" w:cs="Arial" w:ascii="Arial" w:hAnsi="Arial"/>
          <w:color w:val="auto"/>
          <w:sz w:val="22"/>
          <w:szCs w:val="22"/>
        </w:rPr>
        <w:t xml:space="preserve"> - Empresas que invistam em pesquisa e no desenvolvimento de tecnologia no País;</w:t>
      </w:r>
    </w:p>
    <w:p>
      <w:pPr>
        <w:pStyle w:val="Normal"/>
        <w:tabs>
          <w:tab w:val="clear" w:pos="720"/>
          <w:tab w:val="left" w:pos="3135" w:leader="none"/>
        </w:tabs>
        <w:spacing w:lineRule="auto" w:line="360"/>
        <w:rPr>
          <w:color w:val="auto"/>
        </w:rPr>
      </w:pPr>
      <w:r>
        <w:rPr>
          <w:rFonts w:eastAsia="Arial" w:cs="Arial" w:ascii="Arial" w:hAnsi="Arial"/>
          <w:b/>
          <w:color w:val="auto"/>
          <w:sz w:val="22"/>
          <w:szCs w:val="22"/>
        </w:rPr>
        <w:t>9.29.8</w:t>
      </w:r>
      <w:r>
        <w:rPr>
          <w:rFonts w:eastAsia="Arial" w:cs="Arial" w:ascii="Arial" w:hAnsi="Arial"/>
          <w:color w:val="auto"/>
          <w:sz w:val="22"/>
          <w:szCs w:val="22"/>
        </w:rPr>
        <w:t xml:space="preserve"> - Empresas que comprovem a prática de mitigação, nos termos da Lei nº 12.187, de 29 de dezembro de 2009.</w:t>
      </w:r>
    </w:p>
    <w:p>
      <w:pPr>
        <w:pStyle w:val="Normal"/>
        <w:spacing w:lineRule="auto" w:line="360"/>
        <w:jc w:val="both"/>
        <w:rPr>
          <w:color w:val="auto"/>
        </w:rPr>
      </w:pPr>
      <w:r>
        <w:rPr>
          <w:rFonts w:eastAsia="Arial" w:cs="Arial" w:ascii="Arial" w:hAnsi="Arial"/>
          <w:b/>
          <w:color w:val="auto"/>
          <w:sz w:val="22"/>
          <w:szCs w:val="22"/>
        </w:rPr>
        <w:t>9.30</w:t>
      </w:r>
      <w:r>
        <w:rPr>
          <w:rFonts w:eastAsia="Arial" w:cs="Arial" w:ascii="Arial" w:hAnsi="Arial"/>
          <w:color w:val="auto"/>
          <w:sz w:val="22"/>
          <w:szCs w:val="22"/>
        </w:rPr>
        <w:t xml:space="preserve"> - Encerrada a etapa de envio de lances da sessão pública, o(a) Pregoeiro(a) deverá encaminhar, pelo sistema eletrônico, contraproposta ao licitante que tenha apresentado o melhor preço, para que seja obtida melhor proposta, vedada a negociação em condições diferentes das previstas neste Edital.</w:t>
      </w:r>
    </w:p>
    <w:p>
      <w:pPr>
        <w:pStyle w:val="Normal"/>
        <w:spacing w:lineRule="auto" w:line="360"/>
        <w:jc w:val="both"/>
        <w:rPr>
          <w:color w:val="auto"/>
        </w:rPr>
      </w:pPr>
      <w:r>
        <w:rPr>
          <w:rFonts w:eastAsia="Arial" w:cs="Arial" w:ascii="Arial" w:hAnsi="Arial"/>
          <w:b/>
          <w:color w:val="auto"/>
          <w:sz w:val="22"/>
          <w:szCs w:val="22"/>
        </w:rPr>
        <w:t>9.31</w:t>
      </w:r>
      <w:r>
        <w:rPr>
          <w:rFonts w:eastAsia="Arial" w:cs="Arial" w:ascii="Arial" w:hAnsi="Arial"/>
          <w:color w:val="auto"/>
          <w:sz w:val="22"/>
          <w:szCs w:val="22"/>
        </w:rPr>
        <w:t xml:space="preserve"> - A negociação será realizada por meio do sistema, podendo ser acompanhada pelos demais licitantes.</w:t>
      </w:r>
    </w:p>
    <w:p>
      <w:pPr>
        <w:pStyle w:val="Normal"/>
        <w:spacing w:lineRule="auto" w:line="360"/>
        <w:jc w:val="both"/>
        <w:rPr>
          <w:color w:val="auto"/>
        </w:rPr>
      </w:pPr>
      <w:r>
        <w:rPr>
          <w:rFonts w:eastAsia="Arial" w:cs="Arial" w:ascii="Arial" w:hAnsi="Arial"/>
          <w:b/>
          <w:color w:val="auto"/>
          <w:sz w:val="22"/>
          <w:szCs w:val="22"/>
        </w:rPr>
        <w:t>9.32</w:t>
      </w:r>
      <w:r>
        <w:rPr>
          <w:rFonts w:eastAsia="Arial" w:cs="Arial" w:ascii="Arial" w:hAnsi="Arial"/>
          <w:color w:val="auto"/>
          <w:sz w:val="22"/>
          <w:szCs w:val="22"/>
        </w:rPr>
        <w:t xml:space="preserve"> - Quando houver apenas um item por lote, o sistema ao final da sessão de disputa automaticamente atualizará a proposta do fornecedor pelo melhor lance ofertado. No entanto quando se tratar de mais de um item por lote o(a) Pregoeiro(a) solicitará ao licitante melhor classificado que, no prazo de 02 (duas) horas, podendo ser prorrogado por igual período desde que aprovado, envie, através do sistema, a proposta adequada ao último lance ofertado após a negociação realizada, acompanhada, se for o caso, dos documentos complementares, quando necessários à confirmação daqueles exigidos neste Edital e já apresentados.</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9.33</w:t>
      </w:r>
      <w:r>
        <w:rPr>
          <w:rFonts w:eastAsia="Arial" w:cs="Arial" w:ascii="Arial" w:hAnsi="Arial"/>
          <w:color w:val="auto"/>
          <w:sz w:val="22"/>
          <w:szCs w:val="22"/>
        </w:rPr>
        <w:t xml:space="preserve"> - Após a negociação do preço, o(a) Pregoeiro(a) iniciará a fase de aceitação e julgamento da proposta.</w:t>
      </w:r>
    </w:p>
    <w:p>
      <w:pPr>
        <w:pStyle w:val="Normal"/>
        <w:tabs>
          <w:tab w:val="clear" w:pos="720"/>
          <w:tab w:val="left" w:pos="3135"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highlight w:val="lightGray"/>
        </w:rPr>
        <w:t>10 – DA ACEITABILIDADE DA PROPOSTA VENCEDORA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10.1</w:t>
      </w:r>
      <w:r>
        <w:rPr>
          <w:rFonts w:eastAsia="Arial" w:cs="Arial" w:ascii="Arial" w:hAnsi="Arial"/>
          <w:color w:val="auto"/>
          <w:sz w:val="22"/>
          <w:szCs w:val="22"/>
        </w:rPr>
        <w:t xml:space="preserve"> - Encerrada a etapa de negociação, o(a) Pregoeiro(a) examinará a proposta classificada em primeiro lugar quanto à adequação ao objeto e à compatibilidade do preço em relação ao máximo estipulado para contratação neste Edital e em seus anexos, observado o disposto no  Decreto Municipal n.º 030/2024.</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10.2</w:t>
      </w:r>
      <w:r>
        <w:rPr>
          <w:rFonts w:eastAsia="Arial" w:cs="Arial" w:ascii="Arial" w:hAnsi="Arial"/>
          <w:color w:val="auto"/>
          <w:sz w:val="22"/>
          <w:szCs w:val="22"/>
        </w:rPr>
        <w:t xml:space="preserve"> - Será desclassificada a proposta ou o lance vencedor, que apresentar preço final superior ao preço máximo fixado, ou que apresentar preço manifestamente inexequível.</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10.3</w:t>
      </w:r>
      <w:r>
        <w:rPr>
          <w:rFonts w:eastAsia="Arial" w:cs="Arial" w:ascii="Arial" w:hAnsi="Arial"/>
          <w:color w:val="auto"/>
          <w:sz w:val="22"/>
          <w:szCs w:val="22"/>
        </w:rPr>
        <w:t xml:space="preserve"> - A Administração poderá realizar diligências para aferir a exequibilidade das propostas ou exigir dos licitantes que ela seja demonstrada na forma da Lei Federal 14.133/2021.</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10.4</w:t>
      </w:r>
      <w:r>
        <w:rPr>
          <w:rFonts w:eastAsia="Arial" w:cs="Arial" w:ascii="Arial" w:hAnsi="Arial"/>
          <w:color w:val="auto"/>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10.5</w:t>
      </w:r>
      <w:r>
        <w:rPr>
          <w:rFonts w:eastAsia="Arial" w:cs="Arial" w:ascii="Arial" w:hAnsi="Arial"/>
          <w:color w:val="auto"/>
          <w:sz w:val="22"/>
          <w:szCs w:val="22"/>
        </w:rPr>
        <w:t xml:space="preserve"> – O(a) Pregoeiro(a) poderá convocar o licitante para enviar documento digital complementar, por meio de funcionalidade disponível no sistema, no prazo de 02 (duas) horas, sob pena de não aceitação da proposta.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10.6</w:t>
      </w:r>
      <w:r>
        <w:rPr>
          <w:rFonts w:eastAsia="Arial" w:cs="Arial" w:ascii="Arial" w:hAnsi="Arial"/>
          <w:color w:val="auto"/>
          <w:sz w:val="22"/>
          <w:szCs w:val="22"/>
        </w:rPr>
        <w:t xml:space="preserve"> - O prazo estabelecido poderá ser prorrogado pelo(a) Pregoeiro(a) por solicitação escrita e justificada do licitante, formulada antes de findo o prazo, e formalmente aceita pelo(a) Pregoeiro(a).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10.7</w:t>
      </w:r>
      <w:r>
        <w:rPr>
          <w:rFonts w:eastAsia="Arial" w:cs="Arial" w:ascii="Arial" w:hAnsi="Arial"/>
          <w:color w:val="auto"/>
          <w:sz w:val="22"/>
          <w:szCs w:val="22"/>
        </w:rPr>
        <w:t xml:space="preserve"> -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 no prazo indicado pelo(a) Pregoeiro(a), sem prejuízo do seu ulterior envio pelo sistema eletrônico, sob pena de não aceitação da proposta.</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10.7.1.</w:t>
      </w:r>
      <w:r>
        <w:rPr>
          <w:rFonts w:eastAsia="Arial" w:cs="Arial" w:ascii="Arial" w:hAnsi="Arial"/>
          <w:color w:val="auto"/>
          <w:sz w:val="22"/>
          <w:szCs w:val="22"/>
        </w:rPr>
        <w:t xml:space="preserve"> A PROPONENTE provisoriamente classificada em primeiro lugar poderá ser convocada para, em até 2 (duas) horas contados da convocação, apresentar o catálogo técnico dos produtos ofertados. </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10.7.2.</w:t>
      </w:r>
      <w:r>
        <w:rPr>
          <w:rFonts w:eastAsia="Arial" w:cs="Arial" w:ascii="Arial" w:hAnsi="Arial"/>
          <w:color w:val="auto"/>
          <w:sz w:val="22"/>
          <w:szCs w:val="22"/>
        </w:rPr>
        <w:t xml:space="preserve"> Desde que devidamente justificada, a PROPONENTE poderá solicitar a prorrogação do prazo acima por no máximo 2 (duas) horas, ficando a critério do MUNICÍPIO a concessão excepcional da prorrogação.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10.8</w:t>
      </w:r>
      <w:r>
        <w:rPr>
          <w:rFonts w:eastAsia="Arial" w:cs="Arial" w:ascii="Arial" w:hAnsi="Arial"/>
          <w:color w:val="auto"/>
          <w:sz w:val="22"/>
          <w:szCs w:val="22"/>
        </w:rPr>
        <w:t xml:space="preserve"> - Se a proposta ou lance vencedor for desclassificado, o(a) Pregoeiro(a) examinará a proposta ou lance subsequente, e, assim sucessivamente, na ordem de classificação.</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10.8.1</w:t>
      </w:r>
      <w:r>
        <w:rPr>
          <w:rFonts w:eastAsia="Arial" w:cs="Arial" w:ascii="Arial" w:hAnsi="Arial"/>
          <w:color w:val="auto"/>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10.9</w:t>
      </w:r>
      <w:r>
        <w:rPr>
          <w:rFonts w:eastAsia="Arial" w:cs="Arial" w:ascii="Arial" w:hAnsi="Arial"/>
          <w:color w:val="auto"/>
          <w:sz w:val="22"/>
          <w:szCs w:val="22"/>
        </w:rPr>
        <w:t xml:space="preserve"> - Havendo necessidade, o (a) Pregoeiro (a) suspenderá a sessão, informando no “</w:t>
      </w:r>
      <w:r>
        <w:rPr>
          <w:rFonts w:eastAsia="Arial" w:cs="Arial" w:ascii="Arial" w:hAnsi="Arial"/>
          <w:b/>
          <w:i/>
          <w:color w:val="auto"/>
          <w:sz w:val="22"/>
          <w:szCs w:val="22"/>
        </w:rPr>
        <w:t>chat</w:t>
      </w:r>
      <w:r>
        <w:rPr>
          <w:rFonts w:eastAsia="Arial" w:cs="Arial" w:ascii="Arial" w:hAnsi="Arial"/>
          <w:color w:val="auto"/>
          <w:sz w:val="22"/>
          <w:szCs w:val="22"/>
        </w:rPr>
        <w:t>” a nova data e horário para a sua continuidade.</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10.10</w:t>
      </w:r>
      <w:r>
        <w:rPr>
          <w:rFonts w:eastAsia="Arial" w:cs="Arial" w:ascii="Arial" w:hAnsi="Arial"/>
          <w:color w:val="auto"/>
          <w:sz w:val="22"/>
          <w:szCs w:val="22"/>
        </w:rPr>
        <w:t xml:space="preserve"> – O(a) Pregoeiro(a) deverá encaminhar, por meio do sistema eletrônico, contraproposta ao licitante que apresentou o lance mais vantajoso, com o fim de negociar a obtenção de melhor preço, vedada a negociação em condições diversas das previstas neste Edital.</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10.11</w:t>
      </w:r>
      <w:r>
        <w:rPr>
          <w:rFonts w:eastAsia="Arial" w:cs="Arial" w:ascii="Arial" w:hAnsi="Arial"/>
          <w:color w:val="auto"/>
          <w:sz w:val="22"/>
          <w:szCs w:val="22"/>
        </w:rPr>
        <w:t xml:space="preserve"> - Também nas hipóteses em que o(a) Pregoeiro(a) não aceitar a proposta e passar à subsequente, poderá negociar com o licitante para que seja obtido preço melhor.</w:t>
      </w:r>
    </w:p>
    <w:p>
      <w:pPr>
        <w:pStyle w:val="Normal"/>
        <w:tabs>
          <w:tab w:val="clear" w:pos="720"/>
          <w:tab w:val="left" w:pos="3135" w:leader="none"/>
        </w:tabs>
        <w:spacing w:lineRule="auto" w:line="360"/>
        <w:jc w:val="both"/>
        <w:rPr>
          <w:color w:val="auto"/>
        </w:rPr>
      </w:pPr>
      <w:r>
        <w:rPr>
          <w:rFonts w:eastAsia="Arial" w:cs="Arial" w:ascii="Arial" w:hAnsi="Arial"/>
          <w:b/>
          <w:color w:val="auto"/>
          <w:sz w:val="22"/>
          <w:szCs w:val="22"/>
        </w:rPr>
        <w:t>10.12</w:t>
      </w:r>
      <w:r>
        <w:rPr>
          <w:rFonts w:eastAsia="Arial" w:cs="Arial" w:ascii="Arial" w:hAnsi="Arial"/>
          <w:color w:val="auto"/>
          <w:sz w:val="22"/>
          <w:szCs w:val="22"/>
        </w:rPr>
        <w:t xml:space="preserve"> - A negociação será realizada por meio do sistema, podendo ser acompanhada pelos demais licitantes pelo “</w:t>
      </w:r>
      <w:r>
        <w:rPr>
          <w:rFonts w:eastAsia="Arial" w:cs="Arial" w:ascii="Arial" w:hAnsi="Arial"/>
          <w:b/>
          <w:i/>
          <w:color w:val="auto"/>
          <w:sz w:val="22"/>
          <w:szCs w:val="22"/>
        </w:rPr>
        <w:t>chat</w:t>
      </w:r>
      <w:r>
        <w:rPr>
          <w:rFonts w:eastAsia="Arial" w:cs="Arial" w:ascii="Arial" w:hAnsi="Arial"/>
          <w:color w:val="auto"/>
          <w:sz w:val="22"/>
          <w:szCs w:val="22"/>
        </w:rPr>
        <w:t>”.</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11 – DOS CRITÉRIOS DE JULGAMENTO</w:t>
      </w:r>
    </w:p>
    <w:p>
      <w:pPr>
        <w:pStyle w:val="Normal"/>
        <w:spacing w:lineRule="auto" w:line="360"/>
        <w:jc w:val="both"/>
        <w:rPr>
          <w:color w:val="auto"/>
        </w:rPr>
      </w:pPr>
      <w:r>
        <w:rPr>
          <w:rFonts w:eastAsia="Arial" w:cs="Arial" w:ascii="Arial" w:hAnsi="Arial"/>
          <w:b/>
          <w:color w:val="auto"/>
          <w:sz w:val="22"/>
          <w:szCs w:val="22"/>
        </w:rPr>
        <w:t>11.1</w:t>
      </w:r>
      <w:r>
        <w:rPr>
          <w:rFonts w:eastAsia="Arial" w:cs="Arial" w:ascii="Arial" w:hAnsi="Arial"/>
          <w:color w:val="auto"/>
          <w:sz w:val="22"/>
          <w:szCs w:val="22"/>
        </w:rPr>
        <w:t xml:space="preserve"> - Para julgamento, será adotado o critério de </w:t>
      </w:r>
      <w:r>
        <w:rPr>
          <w:rFonts w:eastAsia="Arial" w:cs="Arial" w:ascii="Arial" w:hAnsi="Arial"/>
          <w:b/>
          <w:color w:val="auto"/>
          <w:sz w:val="22"/>
          <w:szCs w:val="22"/>
        </w:rPr>
        <w:t>MENOR PREÇO</w:t>
      </w:r>
      <w:r>
        <w:rPr>
          <w:rFonts w:eastAsia="Arial" w:cs="Arial" w:ascii="Arial" w:hAnsi="Arial"/>
          <w:color w:val="auto"/>
          <w:sz w:val="22"/>
          <w:szCs w:val="22"/>
        </w:rPr>
        <w:t>, observados o valor máximo aceitável, os prazos para fornecimento, as especificações técnicas, parâmetros mínimos de desempenho e qualidade e demais condições definidas neste Edital.</w:t>
      </w:r>
    </w:p>
    <w:p>
      <w:pPr>
        <w:pStyle w:val="Normal"/>
        <w:spacing w:lineRule="auto" w:line="360"/>
        <w:jc w:val="both"/>
        <w:rPr>
          <w:color w:val="auto"/>
        </w:rPr>
      </w:pPr>
      <w:r>
        <w:rPr>
          <w:rFonts w:eastAsia="Arial" w:cs="Arial" w:ascii="Arial" w:hAnsi="Arial"/>
          <w:b/>
          <w:color w:val="auto"/>
          <w:sz w:val="22"/>
          <w:szCs w:val="22"/>
        </w:rPr>
        <w:t>11.2 –</w:t>
      </w:r>
      <w:r>
        <w:rPr>
          <w:rFonts w:eastAsia="Arial" w:cs="Arial" w:ascii="Arial" w:hAnsi="Arial"/>
          <w:color w:val="auto"/>
          <w:sz w:val="22"/>
          <w:szCs w:val="22"/>
        </w:rPr>
        <w:t xml:space="preserve"> O(a)  Pregoeiro(a) anunciará o licitante detentor da proposta ou lance de menor valor/maior vantajosidade imediatamente após a fase de aceitação das propostas ou, quando for o caso, após negociação e decisão pelo(a) Pregoeiro(a) acerca da aceitação do lance de menor valor/ mais vantajoso.</w:t>
      </w:r>
    </w:p>
    <w:p>
      <w:pPr>
        <w:pStyle w:val="Normal"/>
        <w:spacing w:lineRule="auto" w:line="360"/>
        <w:jc w:val="both"/>
        <w:rPr>
          <w:color w:val="auto"/>
        </w:rPr>
      </w:pPr>
      <w:bookmarkStart w:id="6" w:name="_heading=h.tyjcwt"/>
      <w:bookmarkEnd w:id="6"/>
      <w:r>
        <w:rPr>
          <w:rFonts w:eastAsia="Arial" w:cs="Arial" w:ascii="Arial" w:hAnsi="Arial"/>
          <w:b/>
          <w:color w:val="auto"/>
          <w:sz w:val="22"/>
          <w:szCs w:val="22"/>
        </w:rPr>
        <w:t>11.3 -</w:t>
      </w:r>
      <w:r>
        <w:rPr>
          <w:rFonts w:eastAsia="Arial" w:cs="Arial" w:ascii="Arial" w:hAnsi="Arial"/>
          <w:color w:val="auto"/>
          <w:sz w:val="22"/>
          <w:szCs w:val="22"/>
        </w:rPr>
        <w:t xml:space="preserve"> Se a proposta de menor valor/maior vantajosidade não for aceitável ou se o licitante desatender às exigências habilitatórias, o(a) pregoeiro(a)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pPr>
        <w:pStyle w:val="Normal"/>
        <w:spacing w:lineRule="auto" w:line="360"/>
        <w:jc w:val="both"/>
        <w:rPr>
          <w:color w:val="auto"/>
        </w:rPr>
      </w:pPr>
      <w:r>
        <w:rPr>
          <w:rFonts w:eastAsia="Arial" w:cs="Arial" w:ascii="Arial" w:hAnsi="Arial"/>
          <w:b/>
          <w:color w:val="auto"/>
          <w:sz w:val="22"/>
          <w:szCs w:val="22"/>
        </w:rPr>
        <w:t>11.4</w:t>
      </w:r>
      <w:r>
        <w:rPr>
          <w:rFonts w:eastAsia="Arial" w:cs="Arial" w:ascii="Arial" w:hAnsi="Arial"/>
          <w:color w:val="auto"/>
          <w:sz w:val="22"/>
          <w:szCs w:val="22"/>
        </w:rPr>
        <w:t xml:space="preserve"> - No caso de discordância entre valores numéricos e por extenso, prevalecerão estes últimos e, entre preços unitários e totais, os primeiros.</w:t>
      </w:r>
    </w:p>
    <w:p>
      <w:pPr>
        <w:pStyle w:val="Normal"/>
        <w:spacing w:lineRule="auto" w:line="360"/>
        <w:jc w:val="both"/>
        <w:rPr>
          <w:color w:val="auto"/>
        </w:rPr>
      </w:pPr>
      <w:r>
        <w:rPr>
          <w:rFonts w:eastAsia="Arial" w:cs="Arial" w:ascii="Arial" w:hAnsi="Arial"/>
          <w:b/>
          <w:color w:val="auto"/>
          <w:sz w:val="22"/>
          <w:szCs w:val="22"/>
        </w:rPr>
        <w:t>11.5</w:t>
      </w:r>
      <w:r>
        <w:rPr>
          <w:rFonts w:eastAsia="Arial" w:cs="Arial" w:ascii="Arial" w:hAnsi="Arial"/>
          <w:color w:val="auto"/>
          <w:sz w:val="22"/>
          <w:szCs w:val="22"/>
        </w:rPr>
        <w:t xml:space="preserve"> - Serão desclassificadas as propostas que conflitem com as normas deste Edital ou da legislação em vigor.</w:t>
      </w:r>
    </w:p>
    <w:p>
      <w:pPr>
        <w:pStyle w:val="Normal"/>
        <w:spacing w:lineRule="auto" w:line="360"/>
        <w:jc w:val="both"/>
        <w:rPr>
          <w:color w:val="auto"/>
        </w:rPr>
      </w:pPr>
      <w:r>
        <w:rPr>
          <w:rFonts w:eastAsia="Arial" w:cs="Arial" w:ascii="Arial" w:hAnsi="Arial"/>
          <w:b/>
          <w:color w:val="auto"/>
          <w:sz w:val="22"/>
          <w:szCs w:val="22"/>
        </w:rPr>
        <w:t>11.6</w:t>
      </w:r>
      <w:r>
        <w:rPr>
          <w:rFonts w:eastAsia="Arial" w:cs="Arial" w:ascii="Arial" w:hAnsi="Arial"/>
          <w:color w:val="auto"/>
          <w:sz w:val="22"/>
          <w:szCs w:val="22"/>
        </w:rPr>
        <w:t xml:space="preserve"> - Serão também desclassificadas as propostas que:</w:t>
      </w:r>
    </w:p>
    <w:p>
      <w:pPr>
        <w:pStyle w:val="Normal"/>
        <w:spacing w:lineRule="auto" w:line="360"/>
        <w:jc w:val="both"/>
        <w:rPr>
          <w:color w:val="auto"/>
        </w:rPr>
      </w:pPr>
      <w:r>
        <w:rPr>
          <w:rFonts w:eastAsia="Arial" w:cs="Arial" w:ascii="Arial" w:hAnsi="Arial"/>
          <w:b/>
          <w:color w:val="auto"/>
          <w:sz w:val="22"/>
          <w:szCs w:val="22"/>
        </w:rPr>
        <w:t>11.6.1</w:t>
      </w:r>
      <w:r>
        <w:rPr>
          <w:rFonts w:eastAsia="Arial" w:cs="Arial" w:ascii="Arial" w:hAnsi="Arial"/>
          <w:color w:val="auto"/>
          <w:sz w:val="22"/>
          <w:szCs w:val="22"/>
        </w:rPr>
        <w:t xml:space="preserve"> - Sejam incompletas, isto é, não conterem informação(ões) suficiente(s) que permita(m) a perfeita identificação do material licitado;</w:t>
      </w:r>
    </w:p>
    <w:p>
      <w:pPr>
        <w:pStyle w:val="Normal"/>
        <w:spacing w:lineRule="auto" w:line="360"/>
        <w:jc w:val="both"/>
        <w:rPr>
          <w:color w:val="auto"/>
        </w:rPr>
      </w:pPr>
      <w:r>
        <w:rPr>
          <w:rFonts w:eastAsia="Arial" w:cs="Arial" w:ascii="Arial" w:hAnsi="Arial"/>
          <w:b/>
          <w:color w:val="auto"/>
          <w:sz w:val="22"/>
          <w:szCs w:val="22"/>
        </w:rPr>
        <w:t>11.6.2</w:t>
      </w:r>
      <w:r>
        <w:rPr>
          <w:rFonts w:eastAsia="Arial" w:cs="Arial" w:ascii="Arial" w:hAnsi="Arial"/>
          <w:color w:val="auto"/>
          <w:sz w:val="22"/>
          <w:szCs w:val="22"/>
        </w:rPr>
        <w:t xml:space="preserve"> - Contiverem qualquer limitação ou condição substancialmente contrastante com o presente Edital, ou seja, manifestamente inexequíveis, por decisão do(a) Pregoeiro(a).</w:t>
      </w:r>
    </w:p>
    <w:p>
      <w:pPr>
        <w:pStyle w:val="Normal"/>
        <w:spacing w:lineRule="auto" w:line="360"/>
        <w:jc w:val="both"/>
        <w:rPr>
          <w:color w:val="auto"/>
        </w:rPr>
      </w:pPr>
      <w:r>
        <w:rPr>
          <w:rFonts w:eastAsia="Arial" w:cs="Arial" w:ascii="Arial" w:hAnsi="Arial"/>
          <w:b/>
          <w:color w:val="auto"/>
          <w:sz w:val="22"/>
          <w:szCs w:val="22"/>
        </w:rPr>
        <w:t>11.7</w:t>
      </w:r>
      <w:r>
        <w:rPr>
          <w:rFonts w:eastAsia="Arial" w:cs="Arial" w:ascii="Arial" w:hAnsi="Arial"/>
          <w:color w:val="auto"/>
          <w:sz w:val="22"/>
          <w:szCs w:val="22"/>
        </w:rPr>
        <w:t xml:space="preserve"> - Caso não sejam apresentados lances, será verificada a conformidade entre a proposta de menor preço e valor estimado para a aquisição do bem.</w:t>
      </w:r>
    </w:p>
    <w:p>
      <w:pPr>
        <w:pStyle w:val="Normal"/>
        <w:spacing w:lineRule="auto" w:line="360"/>
        <w:jc w:val="both"/>
        <w:rPr>
          <w:color w:val="auto"/>
        </w:rPr>
      </w:pPr>
      <w:r>
        <w:rPr>
          <w:rFonts w:eastAsia="Arial" w:cs="Arial" w:ascii="Arial" w:hAnsi="Arial"/>
          <w:b/>
          <w:color w:val="auto"/>
          <w:sz w:val="22"/>
          <w:szCs w:val="22"/>
        </w:rPr>
        <w:t xml:space="preserve">11.8. </w:t>
      </w:r>
      <w:r>
        <w:rPr>
          <w:rFonts w:eastAsia="Arial" w:cs="Arial" w:ascii="Arial" w:hAnsi="Arial"/>
          <w:color w:val="auto"/>
          <w:sz w:val="22"/>
          <w:szCs w:val="22"/>
        </w:rPr>
        <w:t>-</w:t>
      </w:r>
      <w:r>
        <w:rPr>
          <w:rFonts w:eastAsia="Arial" w:cs="Arial" w:ascii="Arial" w:hAnsi="Arial"/>
          <w:b/>
          <w:color w:val="auto"/>
          <w:sz w:val="22"/>
          <w:szCs w:val="22"/>
        </w:rPr>
        <w:t xml:space="preserve"> </w:t>
      </w:r>
      <w:r>
        <w:rPr>
          <w:rFonts w:eastAsia="Arial" w:cs="Arial" w:ascii="Arial" w:hAnsi="Arial"/>
          <w:color w:val="auto"/>
          <w:sz w:val="22"/>
          <w:szCs w:val="22"/>
        </w:rPr>
        <w:t>A critério do(a) Pregoeiro(a)</w:t>
      </w:r>
      <w:r>
        <w:rPr>
          <w:rFonts w:eastAsia="Arial" w:cs="Arial" w:ascii="Arial" w:hAnsi="Arial"/>
          <w:b/>
          <w:color w:val="auto"/>
          <w:sz w:val="22"/>
          <w:szCs w:val="22"/>
        </w:rPr>
        <w:t xml:space="preserve"> </w:t>
      </w:r>
      <w:r>
        <w:rPr>
          <w:rFonts w:eastAsia="Trebuchet MS" w:cs="Arial" w:ascii="Arial" w:hAnsi="Arial"/>
          <w:color w:val="auto"/>
          <w:sz w:val="22"/>
          <w:szCs w:val="22"/>
        </w:rPr>
        <w:t>os fornecedores classificados em primeiro lugar poderão ser convocados a apresentar amostras dos gêneros alimentícios ofertados para avaliação da qualidade e conformidade com as especificações técnicas requeridas.</w:t>
      </w:r>
    </w:p>
    <w:p>
      <w:pPr>
        <w:pStyle w:val="Normal"/>
        <w:spacing w:lineRule="auto" w:line="360"/>
        <w:jc w:val="both"/>
        <w:rPr>
          <w:color w:val="auto"/>
        </w:rPr>
      </w:pPr>
      <w:r>
        <w:rPr>
          <w:rFonts w:eastAsia="Arial" w:cs="Arial" w:ascii="Arial" w:hAnsi="Arial"/>
          <w:b/>
          <w:color w:val="auto"/>
          <w:sz w:val="22"/>
          <w:szCs w:val="22"/>
        </w:rPr>
        <w:t xml:space="preserve">11.8.1. - </w:t>
      </w:r>
      <w:r>
        <w:rPr>
          <w:rFonts w:eastAsia="Arial" w:cs="Arial" w:ascii="Arial" w:hAnsi="Arial"/>
          <w:color w:val="auto"/>
          <w:sz w:val="22"/>
          <w:szCs w:val="22"/>
        </w:rPr>
        <w:t>No caso de convocação de apresentação de amostras, o processo será suspenso até a análise final das amostras.</w:t>
      </w:r>
    </w:p>
    <w:p>
      <w:pPr>
        <w:pStyle w:val="Normal"/>
        <w:spacing w:lineRule="auto" w:line="360"/>
        <w:jc w:val="both"/>
        <w:rPr>
          <w:color w:val="auto"/>
        </w:rPr>
      </w:pPr>
      <w:r>
        <w:rPr>
          <w:rFonts w:eastAsia="Arial" w:cs="Arial" w:ascii="Arial" w:hAnsi="Arial"/>
          <w:b/>
          <w:color w:val="auto"/>
          <w:sz w:val="22"/>
          <w:szCs w:val="22"/>
        </w:rPr>
        <w:t xml:space="preserve">11.8.2 - </w:t>
      </w:r>
      <w:r>
        <w:rPr>
          <w:rFonts w:eastAsia="Arial" w:cs="Arial" w:ascii="Arial" w:hAnsi="Arial"/>
          <w:color w:val="auto"/>
          <w:sz w:val="22"/>
          <w:szCs w:val="22"/>
        </w:rPr>
        <w:t xml:space="preserve"> Após a análise de amostras, a sessão será retomada após aviso prévio no sistema com, no mínimo, vinte e quatro horas de antecedência, e a ocorrência será registrada em ata. </w:t>
      </w:r>
    </w:p>
    <w:p>
      <w:pPr>
        <w:pStyle w:val="Normal"/>
        <w:spacing w:lineRule="auto" w:line="360"/>
        <w:jc w:val="both"/>
        <w:rPr>
          <w:color w:val="auto"/>
        </w:rPr>
      </w:pPr>
      <w:r>
        <w:rPr>
          <w:rFonts w:eastAsia="Arial" w:cs="Arial" w:ascii="Arial" w:hAnsi="Arial"/>
          <w:b/>
          <w:color w:val="auto"/>
          <w:sz w:val="22"/>
          <w:szCs w:val="22"/>
        </w:rPr>
        <w:t>11.8.3.</w:t>
      </w:r>
      <w:r>
        <w:rPr>
          <w:rFonts w:eastAsia="Arial" w:cs="Arial" w:ascii="Arial" w:hAnsi="Arial"/>
          <w:color w:val="auto"/>
          <w:sz w:val="22"/>
          <w:szCs w:val="22"/>
        </w:rPr>
        <w:t xml:space="preserve"> - Após reiniciada a sessão, será apresentada o resultado das amostras, devendo proceder a convocação na ordem de classificação de algum item que tenha sua amostra rejeitada, para apresentação de nova amostra nas mesmas condições da primeira convocação, e assim sucessivamente.</w:t>
      </w:r>
    </w:p>
    <w:p>
      <w:pPr>
        <w:pStyle w:val="Normal"/>
        <w:spacing w:lineRule="auto" w:line="360"/>
        <w:jc w:val="both"/>
        <w:rPr>
          <w:color w:val="auto"/>
        </w:rPr>
      </w:pPr>
      <w:r>
        <w:rPr>
          <w:rFonts w:eastAsia="Arial" w:cs="Arial" w:ascii="Arial" w:hAnsi="Arial"/>
          <w:b/>
          <w:color w:val="auto"/>
          <w:sz w:val="22"/>
          <w:szCs w:val="22"/>
        </w:rPr>
        <w:t>11.8.4</w:t>
      </w:r>
      <w:r>
        <w:rPr>
          <w:rFonts w:eastAsia="Arial" w:cs="Arial" w:ascii="Arial" w:hAnsi="Arial"/>
          <w:color w:val="auto"/>
          <w:sz w:val="22"/>
          <w:szCs w:val="22"/>
        </w:rPr>
        <w:t xml:space="preserve"> – Após a fase de aceitação das amostras, serão analisados documentos de habilitação daquelas Propostas finais, e constatando o atendimento das exigências previstas no Edital, o licitante será declarado vencedor, sendo que o processo será homologado o procedimento e adjudicado o objeto da licitação pela autoridade competente.</w:t>
      </w:r>
    </w:p>
    <w:p>
      <w:pPr>
        <w:pStyle w:val="Normal"/>
        <w:spacing w:lineRule="auto" w:line="360"/>
        <w:jc w:val="both"/>
        <w:rPr>
          <w:color w:val="auto"/>
        </w:rPr>
      </w:pPr>
      <w:r>
        <w:rPr>
          <w:rFonts w:eastAsia="Arial" w:cs="Arial" w:ascii="Arial" w:hAnsi="Arial"/>
          <w:b/>
          <w:color w:val="auto"/>
          <w:sz w:val="22"/>
          <w:szCs w:val="22"/>
        </w:rPr>
        <w:t>11.9</w:t>
      </w:r>
      <w:r>
        <w:rPr>
          <w:rFonts w:eastAsia="Arial" w:cs="Arial" w:ascii="Arial" w:hAnsi="Arial"/>
          <w:color w:val="auto"/>
          <w:sz w:val="22"/>
          <w:szCs w:val="22"/>
        </w:rPr>
        <w:t xml:space="preserve"> - Após a habilitação, poderá a licitante ser desqualificada por motivo relacionado com a capacidade jurídica, regularidade fiscal, social e trabalhista qualificação econômico-financeira, qualificação técnica e/ou inidoneidade, em razão de fatos supervenientes ou somente conhecidos após o julgamento.</w:t>
      </w:r>
    </w:p>
    <w:p>
      <w:pPr>
        <w:pStyle w:val="Normal"/>
        <w:spacing w:lineRule="auto" w:line="360"/>
        <w:jc w:val="both"/>
        <w:rPr>
          <w:color w:val="auto"/>
        </w:rPr>
      </w:pPr>
      <w:r>
        <w:rPr>
          <w:rFonts w:eastAsia="Arial" w:cs="Arial" w:ascii="Arial" w:hAnsi="Arial"/>
          <w:b/>
          <w:color w:val="auto"/>
          <w:sz w:val="22"/>
          <w:szCs w:val="22"/>
        </w:rPr>
        <w:t>11.10</w:t>
      </w:r>
      <w:r>
        <w:rPr>
          <w:rFonts w:eastAsia="Arial" w:cs="Arial" w:ascii="Arial" w:hAnsi="Arial"/>
          <w:color w:val="auto"/>
          <w:sz w:val="22"/>
          <w:szCs w:val="22"/>
        </w:rPr>
        <w:t xml:space="preserve"> - Da sessão, o sistema gerará ata circunstanciada, na qual estarão registrados todos os atos do procedimento e as ocorrências relevantes.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12 - DO ENCAMINHAMENTO DA PROPOSTA FINANCEIRA (PROPOSTA FINAL)</w:t>
      </w:r>
    </w:p>
    <w:p>
      <w:pPr>
        <w:pStyle w:val="Normal"/>
        <w:spacing w:lineRule="auto" w:line="360"/>
        <w:jc w:val="both"/>
        <w:rPr>
          <w:color w:val="auto"/>
        </w:rPr>
      </w:pPr>
      <w:r>
        <w:rPr>
          <w:rFonts w:eastAsia="Arial" w:cs="Arial" w:ascii="Arial" w:hAnsi="Arial"/>
          <w:b/>
          <w:color w:val="auto"/>
          <w:sz w:val="22"/>
          <w:szCs w:val="22"/>
        </w:rPr>
        <w:t>12.1</w:t>
      </w:r>
      <w:r>
        <w:rPr>
          <w:rFonts w:eastAsia="Arial" w:cs="Arial" w:ascii="Arial" w:hAnsi="Arial"/>
          <w:color w:val="auto"/>
          <w:sz w:val="22"/>
          <w:szCs w:val="22"/>
        </w:rPr>
        <w:t xml:space="preserve"> - A PROPOSTA FINAL do licitante declarado vencedor será atualizada automaticamente pelo sistema de pregão eletrônico.</w:t>
      </w:r>
    </w:p>
    <w:p>
      <w:pPr>
        <w:pStyle w:val="Normal"/>
        <w:spacing w:lineRule="auto" w:line="360"/>
        <w:jc w:val="both"/>
        <w:rPr>
          <w:color w:val="auto"/>
        </w:rPr>
      </w:pPr>
      <w:r>
        <w:rPr>
          <w:rFonts w:eastAsia="Arial" w:cs="Arial" w:ascii="Arial" w:hAnsi="Arial"/>
          <w:b/>
          <w:color w:val="auto"/>
          <w:sz w:val="22"/>
          <w:szCs w:val="22"/>
        </w:rPr>
        <w:t>12.1.1</w:t>
      </w:r>
      <w:r>
        <w:rPr>
          <w:rFonts w:eastAsia="Arial" w:cs="Arial" w:ascii="Arial" w:hAnsi="Arial"/>
          <w:color w:val="auto"/>
          <w:sz w:val="22"/>
          <w:szCs w:val="22"/>
        </w:rPr>
        <w:t>. A proposta somente não será atualizada automaticamente quando houver mais de um item dentro do lote, cabendo ao fornecedor a atualização dos valores de sua proposta no prazo de 02 (duas) horas, podendo ser prorrogado por igual período desde que aprovado pela administração.</w:t>
      </w:r>
    </w:p>
    <w:p>
      <w:pPr>
        <w:pStyle w:val="Normal"/>
        <w:spacing w:lineRule="auto" w:line="360"/>
        <w:jc w:val="both"/>
        <w:rPr>
          <w:color w:val="auto"/>
        </w:rPr>
      </w:pPr>
      <w:r>
        <w:rPr>
          <w:rFonts w:eastAsia="Arial" w:cs="Arial" w:ascii="Arial" w:hAnsi="Arial"/>
          <w:b/>
          <w:color w:val="auto"/>
          <w:sz w:val="22"/>
          <w:szCs w:val="22"/>
        </w:rPr>
        <w:t>12.2</w:t>
      </w:r>
      <w:r>
        <w:rPr>
          <w:rFonts w:eastAsia="Arial" w:cs="Arial" w:ascii="Arial" w:hAnsi="Arial"/>
          <w:color w:val="auto"/>
          <w:sz w:val="22"/>
          <w:szCs w:val="22"/>
        </w:rPr>
        <w:t xml:space="preserve"> -  Deverá, contudo, o licitante vencedor, encaminhar por e-mail licitação@aracuai.mg.gov.br a indicação do banco, número da conta e agência, para fins de pagamento, isso no prazo de 24 (vinte e quatro horas); </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13 - DO RECURSO</w:t>
      </w:r>
    </w:p>
    <w:p>
      <w:pPr>
        <w:pStyle w:val="Normal"/>
        <w:spacing w:lineRule="auto" w:line="360"/>
        <w:jc w:val="both"/>
        <w:rPr>
          <w:color w:val="auto"/>
        </w:rPr>
      </w:pPr>
      <w:r>
        <w:rPr>
          <w:rFonts w:eastAsia="Arial" w:cs="Arial" w:ascii="Arial" w:hAnsi="Arial"/>
          <w:b/>
          <w:color w:val="auto"/>
          <w:sz w:val="22"/>
          <w:szCs w:val="22"/>
        </w:rPr>
        <w:t>13.1</w:t>
      </w:r>
      <w:r>
        <w:rPr>
          <w:rFonts w:eastAsia="Arial" w:cs="Arial" w:ascii="Arial" w:hAnsi="Arial"/>
          <w:color w:val="auto"/>
          <w:sz w:val="22"/>
          <w:szCs w:val="22"/>
        </w:rPr>
        <w:t>. O(a) Pregoeiro(a) declarará o vencedor e, depois de decorrida a fase de regularização fiscal, social e Trabalhista de microempresa, empresa de pequeno porte ou sociedade cooperativa, se for o caso, concederá o prazo de (10) dez minutos, para que qualquer licitante manifeste a intenção de recorrer, de forma motivada, isto é, indicando contra qual (is) decisão(ões) pretende recorrer e por quais motivos, em campo próprio do sistema.</w:t>
      </w:r>
    </w:p>
    <w:p>
      <w:pPr>
        <w:pStyle w:val="Normal"/>
        <w:spacing w:lineRule="auto" w:line="360"/>
        <w:jc w:val="both"/>
        <w:rPr>
          <w:color w:val="auto"/>
        </w:rPr>
      </w:pPr>
      <w:r>
        <w:rPr>
          <w:rFonts w:eastAsia="Arial" w:cs="Arial" w:ascii="Arial" w:hAnsi="Arial"/>
          <w:b/>
          <w:color w:val="auto"/>
          <w:sz w:val="22"/>
          <w:szCs w:val="22"/>
        </w:rPr>
        <w:t>13.2 -</w:t>
      </w:r>
      <w:r>
        <w:rPr>
          <w:rFonts w:eastAsia="Arial" w:cs="Arial" w:ascii="Arial" w:hAnsi="Arial"/>
          <w:color w:val="auto"/>
          <w:sz w:val="22"/>
          <w:szCs w:val="22"/>
        </w:rPr>
        <w:t xml:space="preserve"> A falta de manifestação imediata e motivada da intenção de interpor recurso, no momento da sessão pública deste Pregão, implica decadência desse direito. </w:t>
      </w:r>
    </w:p>
    <w:p>
      <w:pPr>
        <w:pStyle w:val="Normal"/>
        <w:spacing w:lineRule="auto" w:line="360"/>
        <w:jc w:val="both"/>
        <w:rPr>
          <w:color w:val="auto"/>
        </w:rPr>
      </w:pPr>
      <w:r>
        <w:rPr>
          <w:rFonts w:eastAsia="Arial" w:cs="Arial" w:ascii="Arial" w:hAnsi="Arial"/>
          <w:b/>
          <w:color w:val="auto"/>
          <w:sz w:val="22"/>
          <w:szCs w:val="22"/>
        </w:rPr>
        <w:t>13.3</w:t>
      </w:r>
      <w:r>
        <w:rPr>
          <w:rFonts w:eastAsia="Arial" w:cs="Arial" w:ascii="Arial" w:hAnsi="Arial"/>
          <w:color w:val="auto"/>
          <w:sz w:val="22"/>
          <w:szCs w:val="22"/>
        </w:rPr>
        <w:t xml:space="preserve"> -  Havendo quem se manifeste, caberá ao(a) Pregoeiro(a) verificar a tempestividade e a existência de motivação da intenção de recorrer, para decidir se admite ou não o recurso, fundamentadamente.</w:t>
      </w:r>
    </w:p>
    <w:p>
      <w:pPr>
        <w:pStyle w:val="Normal"/>
        <w:spacing w:lineRule="auto" w:line="360"/>
        <w:jc w:val="both"/>
        <w:rPr>
          <w:color w:val="auto"/>
        </w:rPr>
      </w:pPr>
      <w:r>
        <w:rPr>
          <w:rFonts w:eastAsia="Arial" w:cs="Arial" w:ascii="Arial" w:hAnsi="Arial"/>
          <w:b/>
          <w:color w:val="auto"/>
          <w:sz w:val="22"/>
          <w:szCs w:val="22"/>
        </w:rPr>
        <w:t>13.3.1</w:t>
      </w:r>
      <w:r>
        <w:rPr>
          <w:rFonts w:eastAsia="Arial" w:cs="Arial" w:ascii="Arial" w:hAnsi="Arial"/>
          <w:color w:val="auto"/>
          <w:sz w:val="22"/>
          <w:szCs w:val="22"/>
        </w:rPr>
        <w:t xml:space="preserve"> - Nesse momento o(a) Pregoeiro(a) não adentrará no mérito recursal, mas apenas verificará as condições de admissibilidade do recurso. </w:t>
      </w:r>
    </w:p>
    <w:p>
      <w:pPr>
        <w:pStyle w:val="Normal"/>
        <w:spacing w:lineRule="auto" w:line="360"/>
        <w:jc w:val="both"/>
        <w:rPr>
          <w:color w:val="auto"/>
        </w:rPr>
      </w:pPr>
      <w:r>
        <w:rPr>
          <w:rFonts w:eastAsia="Arial" w:cs="Arial" w:ascii="Arial" w:hAnsi="Arial"/>
          <w:b/>
          <w:color w:val="auto"/>
          <w:sz w:val="22"/>
          <w:szCs w:val="22"/>
        </w:rPr>
        <w:t>13.3.2</w:t>
      </w:r>
      <w:r>
        <w:rPr>
          <w:rFonts w:eastAsia="Arial" w:cs="Arial" w:ascii="Arial" w:hAnsi="Arial"/>
          <w:color w:val="auto"/>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pPr>
        <w:pStyle w:val="Normal"/>
        <w:spacing w:lineRule="auto" w:line="360"/>
        <w:jc w:val="both"/>
        <w:rPr>
          <w:color w:val="auto"/>
        </w:rPr>
      </w:pPr>
      <w:r>
        <w:rPr>
          <w:rFonts w:eastAsia="Arial" w:cs="Arial" w:ascii="Arial" w:hAnsi="Arial"/>
          <w:b/>
          <w:color w:val="auto"/>
          <w:sz w:val="22"/>
          <w:szCs w:val="22"/>
        </w:rPr>
        <w:t>13.4</w:t>
      </w:r>
      <w:r>
        <w:rPr>
          <w:rFonts w:eastAsia="Arial" w:cs="Arial" w:ascii="Arial" w:hAnsi="Arial"/>
          <w:color w:val="auto"/>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pPr>
        <w:pStyle w:val="Normal"/>
        <w:spacing w:lineRule="auto" w:line="360"/>
        <w:jc w:val="both"/>
        <w:rPr>
          <w:color w:val="auto"/>
        </w:rPr>
      </w:pPr>
      <w:r>
        <w:rPr>
          <w:rFonts w:eastAsia="Arial" w:cs="Arial" w:ascii="Arial" w:hAnsi="Arial"/>
          <w:b/>
          <w:color w:val="auto"/>
          <w:sz w:val="22"/>
          <w:szCs w:val="22"/>
        </w:rPr>
        <w:t>13.5</w:t>
      </w:r>
      <w:r>
        <w:rPr>
          <w:rFonts w:eastAsia="Arial" w:cs="Arial" w:ascii="Arial" w:hAnsi="Arial"/>
          <w:color w:val="auto"/>
          <w:sz w:val="22"/>
          <w:szCs w:val="22"/>
        </w:rPr>
        <w:t xml:space="preserve"> - O acolhimento do recurso importará na invalidação apenas dos atos insuscetíveis de aproveitamento.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14 – DA ADJUDICAÇÃO E HOMOLOGAÇÃO</w:t>
      </w:r>
      <w:r>
        <w:rPr>
          <w:rFonts w:eastAsia="Arial" w:cs="Arial" w:ascii="Arial" w:hAnsi="Arial"/>
          <w:b/>
          <w:color w:val="auto"/>
          <w:sz w:val="22"/>
          <w:szCs w:val="22"/>
        </w:rPr>
        <w:t xml:space="preserve"> </w:t>
      </w:r>
    </w:p>
    <w:p>
      <w:pPr>
        <w:pStyle w:val="Normal"/>
        <w:spacing w:lineRule="auto" w:line="360"/>
        <w:jc w:val="both"/>
        <w:rPr>
          <w:color w:val="auto"/>
        </w:rPr>
      </w:pPr>
      <w:r>
        <w:rPr>
          <w:rFonts w:eastAsia="Arial" w:cs="Arial" w:ascii="Arial" w:hAnsi="Arial"/>
          <w:b/>
          <w:color w:val="auto"/>
          <w:sz w:val="22"/>
          <w:szCs w:val="22"/>
        </w:rPr>
        <w:t>14.1</w:t>
      </w:r>
      <w:r>
        <w:rPr>
          <w:rFonts w:eastAsia="Arial" w:cs="Arial" w:ascii="Arial" w:hAnsi="Arial"/>
          <w:color w:val="auto"/>
          <w:sz w:val="22"/>
          <w:szCs w:val="22"/>
        </w:rPr>
        <w:t xml:space="preserve"> - O objeto da licitação será adjudicado ao licitante declarado vencedor e homologado, por ato da autoridade superior, após a regular decisão de eventuais recursos apresentados.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15 – DAS CONDIÇÕES PARA ASSINATURA DA ATA DE REGISTRO DE PREÇOS</w:t>
      </w:r>
    </w:p>
    <w:p>
      <w:pPr>
        <w:pStyle w:val="Normal"/>
        <w:spacing w:lineRule="auto" w:line="360"/>
        <w:jc w:val="both"/>
        <w:rPr/>
      </w:pPr>
      <w:r>
        <w:rPr>
          <w:rFonts w:eastAsia="Arial" w:cs="Arial" w:ascii="Arial" w:hAnsi="Arial"/>
          <w:b/>
          <w:color w:val="auto"/>
          <w:sz w:val="22"/>
          <w:szCs w:val="22"/>
        </w:rPr>
        <w:t>15.1</w:t>
      </w:r>
      <w:r>
        <w:rPr>
          <w:rFonts w:eastAsia="Arial" w:cs="Arial" w:ascii="Arial" w:hAnsi="Arial"/>
          <w:color w:val="auto"/>
          <w:sz w:val="22"/>
          <w:szCs w:val="22"/>
        </w:rPr>
        <w:t xml:space="preserve"> - Findo o processo licitatório, a empresa vencedora será convocada via sistema eletrônico e e-mail a assinar a ARP, que obedecerá ao modelo </w:t>
      </w:r>
      <w:hyperlink w:anchor="_heading=h.2s8eyo1">
        <w:r>
          <w:rPr>
            <w:rFonts w:eastAsia="Arial" w:cs="Arial" w:ascii="Arial" w:hAnsi="Arial"/>
            <w:color w:val="auto"/>
            <w:sz w:val="22"/>
            <w:szCs w:val="22"/>
            <w:u w:val="single"/>
          </w:rPr>
          <w:t>Anexo II</w:t>
        </w:r>
      </w:hyperlink>
      <w:r>
        <w:rPr>
          <w:rFonts w:eastAsia="Arial" w:cs="Arial" w:ascii="Arial" w:hAnsi="Arial"/>
          <w:color w:val="auto"/>
          <w:sz w:val="22"/>
          <w:szCs w:val="22"/>
        </w:rPr>
        <w:t>, no prazo de 5 (cinco) dias úteis contados da convocação emitida pelo Setor, sob pena de decair do direito à contratação.</w:t>
      </w:r>
    </w:p>
    <w:p>
      <w:pPr>
        <w:pStyle w:val="Normal"/>
        <w:spacing w:lineRule="auto" w:line="360"/>
        <w:jc w:val="both"/>
        <w:rPr>
          <w:color w:val="auto"/>
        </w:rPr>
      </w:pPr>
      <w:r>
        <w:rPr>
          <w:rFonts w:eastAsia="Arial" w:cs="Arial" w:ascii="Arial" w:hAnsi="Arial"/>
          <w:b/>
          <w:color w:val="auto"/>
          <w:sz w:val="22"/>
          <w:szCs w:val="22"/>
        </w:rPr>
        <w:t>15.2</w:t>
      </w:r>
      <w:r>
        <w:rPr>
          <w:rFonts w:eastAsia="Arial" w:cs="Arial" w:ascii="Arial" w:hAnsi="Arial"/>
          <w:color w:val="auto"/>
          <w:sz w:val="22"/>
          <w:szCs w:val="22"/>
        </w:rPr>
        <w:t xml:space="preserve"> - O subitem acima deverá ser desconsiderado caso seja outra a decisão da autoridade competente que não a homologação do processo licitatório ou outra for sua decisão.</w:t>
      </w:r>
    </w:p>
    <w:p>
      <w:pPr>
        <w:pStyle w:val="Normal"/>
        <w:spacing w:lineRule="auto" w:line="360"/>
        <w:jc w:val="both"/>
        <w:rPr>
          <w:color w:val="auto"/>
        </w:rPr>
      </w:pPr>
      <w:r>
        <w:rPr>
          <w:rFonts w:eastAsia="Arial" w:cs="Arial" w:ascii="Arial" w:hAnsi="Arial"/>
          <w:b/>
          <w:color w:val="auto"/>
          <w:sz w:val="22"/>
          <w:szCs w:val="22"/>
        </w:rPr>
        <w:t>15.3</w:t>
      </w:r>
      <w:r>
        <w:rPr>
          <w:rFonts w:eastAsia="Arial" w:cs="Arial" w:ascii="Arial" w:hAnsi="Arial"/>
          <w:color w:val="auto"/>
          <w:sz w:val="22"/>
          <w:szCs w:val="22"/>
        </w:rPr>
        <w:t xml:space="preserve"> - Será facultado à Administração, quando o convocado não assinar o termo de contrato/ARP ou não aceitar ou não retirar o instrumento equivalente no prazo e nas condições estabelecidas, convocar os licitantes remanescentes, na ordem de classificação, para a celebração do contrato/ARP nas condições propostas pelo licitante vencedor, conforme artigo 90 da lei Federal 14.133/2021.</w:t>
      </w:r>
    </w:p>
    <w:p>
      <w:pPr>
        <w:pStyle w:val="Normal"/>
        <w:spacing w:lineRule="auto" w:line="360"/>
        <w:jc w:val="both"/>
        <w:rPr>
          <w:color w:val="auto"/>
        </w:rPr>
      </w:pPr>
      <w:sdt>
        <w:sdtPr>
          <w:id w:val="140437332"/>
        </w:sdtPr>
        <w:sdtContent>
          <w:r>
            <w:rPr>
              <w:rFonts w:eastAsia="Arial" w:cs="Arial" w:ascii="Arial" w:hAnsi="Arial"/>
              <w:color w:val="auto"/>
              <w:sz w:val="22"/>
              <w:szCs w:val="22"/>
            </w:rPr>
            <w:t>15.4. Na hipótese de nenhum dos licitantes aceitar a contratação nos termos do 15.3 deste artigo, a Administração, observados o valor estimado e sua eventual atualização nos termos do edital, poderá:</w:t>
          </w:r>
        </w:sdtContent>
      </w:sdt>
    </w:p>
    <w:p>
      <w:pPr>
        <w:pStyle w:val="Normal"/>
        <w:spacing w:lineRule="auto" w:line="360"/>
        <w:jc w:val="both"/>
        <w:rPr>
          <w:color w:val="auto"/>
        </w:rPr>
      </w:pPr>
      <w:r>
        <w:rPr>
          <w:rFonts w:eastAsia="Arial" w:cs="Arial" w:ascii="Arial" w:hAnsi="Arial"/>
          <w:color w:val="auto"/>
          <w:sz w:val="22"/>
          <w:szCs w:val="22"/>
        </w:rPr>
        <w:t>15.4.1 - convocar os licitantes remanescentes para negociação, na ordem de classificação, com vistas à obtenção de preço melhor, mesmo que acima do preço do adjudicatário;</w:t>
      </w:r>
    </w:p>
    <w:p>
      <w:pPr>
        <w:pStyle w:val="Normal"/>
        <w:spacing w:lineRule="auto" w:line="360"/>
        <w:jc w:val="both"/>
        <w:rPr>
          <w:color w:val="auto"/>
        </w:rPr>
      </w:pPr>
      <w:r>
        <w:rPr>
          <w:rFonts w:eastAsia="Arial" w:cs="Arial" w:ascii="Arial" w:hAnsi="Arial"/>
          <w:color w:val="auto"/>
          <w:sz w:val="22"/>
          <w:szCs w:val="22"/>
        </w:rPr>
        <w:t>15.4.2 - adjudicar e celebrar o contrato nas condições ofertadas pelos licitantes remanescentes, atendida a ordem classificatória, quando frustrada a negociação de melhor condição.</w:t>
      </w:r>
    </w:p>
    <w:p>
      <w:pPr>
        <w:pStyle w:val="Normal"/>
        <w:spacing w:lineRule="auto" w:line="360"/>
        <w:jc w:val="both"/>
        <w:rPr>
          <w:color w:val="auto"/>
        </w:rPr>
      </w:pPr>
      <w:r>
        <w:rPr>
          <w:rFonts w:eastAsia="Arial" w:cs="Arial" w:ascii="Arial" w:hAnsi="Arial"/>
          <w:color w:val="auto"/>
          <w:sz w:val="22"/>
          <w:szCs w:val="22"/>
        </w:rPr>
        <w:t>15.5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pPr>
        <w:pStyle w:val="Normal"/>
        <w:spacing w:lineRule="auto" w:line="360"/>
        <w:jc w:val="both"/>
        <w:rPr>
          <w:color w:val="auto"/>
        </w:rPr>
      </w:pPr>
      <w:r>
        <w:rPr>
          <w:rFonts w:eastAsia="Arial" w:cs="Arial" w:ascii="Arial" w:hAnsi="Arial"/>
          <w:color w:val="auto"/>
          <w:sz w:val="22"/>
          <w:szCs w:val="22"/>
        </w:rPr>
        <w:t>15.6 A regra do 15.5 não se aplicará aos licitantes remanescentes convocados na forma do 15.4.1.</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16 – DO PRAZO PARA VIGÊNCIA DA ATA DE REGISTRO DE PREÇOS</w:t>
      </w:r>
      <w:r>
        <w:rPr>
          <w:rFonts w:eastAsia="Arial" w:cs="Arial" w:ascii="Arial" w:hAnsi="Arial"/>
          <w:b/>
          <w:color w:val="auto"/>
          <w:sz w:val="22"/>
          <w:szCs w:val="22"/>
        </w:rPr>
        <w:t xml:space="preserve"> </w:t>
      </w:r>
    </w:p>
    <w:p>
      <w:pPr>
        <w:pStyle w:val="Normal"/>
        <w:spacing w:lineRule="auto" w:line="360"/>
        <w:jc w:val="both"/>
        <w:rPr>
          <w:color w:val="auto"/>
        </w:rPr>
      </w:pPr>
      <w:r>
        <w:rPr>
          <w:rFonts w:eastAsia="Arial" w:cs="Arial" w:ascii="Arial" w:hAnsi="Arial"/>
          <w:b/>
          <w:color w:val="auto"/>
          <w:sz w:val="22"/>
          <w:szCs w:val="22"/>
        </w:rPr>
        <w:t>16.1.</w:t>
      </w:r>
      <w:r>
        <w:rPr>
          <w:rFonts w:eastAsia="Arial" w:cs="Arial" w:ascii="Arial" w:hAnsi="Arial"/>
          <w:color w:val="auto"/>
          <w:sz w:val="22"/>
          <w:szCs w:val="22"/>
        </w:rPr>
        <w:t xml:space="preserve"> - O prazo de vigência da ata de registro de preços será de 1 (um) ano e poderá ser prorrogado, por igual período, desde que comprovado o preço vantajoso.</w:t>
      </w:r>
    </w:p>
    <w:p>
      <w:pPr>
        <w:pStyle w:val="Normal"/>
        <w:spacing w:lineRule="auto" w:line="360"/>
        <w:jc w:val="both"/>
        <w:rPr>
          <w:color w:val="auto"/>
        </w:rPr>
      </w:pPr>
      <w:r>
        <w:rPr>
          <w:rFonts w:eastAsia="Arial" w:cs="Arial" w:ascii="Arial" w:hAnsi="Arial"/>
          <w:b/>
          <w:color w:val="auto"/>
          <w:sz w:val="22"/>
          <w:szCs w:val="22"/>
        </w:rPr>
        <w:t>16.1.1</w:t>
      </w:r>
      <w:r>
        <w:rPr>
          <w:rFonts w:eastAsia="Arial" w:cs="Arial" w:ascii="Arial" w:hAnsi="Arial"/>
          <w:color w:val="auto"/>
          <w:sz w:val="22"/>
          <w:szCs w:val="22"/>
        </w:rPr>
        <w:t>. - Ao prorrogar o prazo de vigência da Ata de Registro de Preços, a Gerenciadora da Ata deverá dar publicidade à intenção de renovação da vigência da Ata de RP em até 30 dias antes de terminar a vigência da ARP. A informação ficará publicada pelo período de 5 dias úteis, podendo no 6° dia útil assinar o aditivo de prorrogação se não houver manifestação em contrário.</w:t>
      </w:r>
    </w:p>
    <w:p>
      <w:pPr>
        <w:pStyle w:val="Normal"/>
        <w:spacing w:lineRule="auto" w:line="360"/>
        <w:jc w:val="both"/>
        <w:rPr/>
      </w:pPr>
      <w:r>
        <w:rPr>
          <w:rFonts w:eastAsia="Arial" w:cs="Arial" w:ascii="Arial" w:hAnsi="Arial"/>
          <w:b/>
          <w:color w:val="auto"/>
          <w:sz w:val="22"/>
          <w:szCs w:val="22"/>
        </w:rPr>
        <w:t xml:space="preserve">16.2. - </w:t>
      </w:r>
      <w:r>
        <w:rPr>
          <w:rFonts w:eastAsia="Arial" w:cs="Arial" w:ascii="Arial" w:hAnsi="Arial"/>
          <w:color w:val="auto"/>
          <w:sz w:val="22"/>
          <w:szCs w:val="22"/>
        </w:rPr>
        <w:t>No prazo de validade da ata de registro de preços poderá ser contratado os fornecedores registrados na ata de Registro de Preços que será formalizada por meio de instrumento contratual (</w:t>
      </w:r>
      <w:hyperlink w:anchor="_heading=h.3rdcrjn">
        <w:r>
          <w:rPr>
            <w:rFonts w:eastAsia="Arial" w:cs="Arial" w:ascii="Arial" w:hAnsi="Arial"/>
            <w:color w:val="auto"/>
            <w:sz w:val="22"/>
            <w:szCs w:val="22"/>
            <w:u w:val="single"/>
          </w:rPr>
          <w:t>Anexo III</w:t>
        </w:r>
      </w:hyperlink>
      <w:r>
        <w:rPr>
          <w:rFonts w:eastAsia="Arial" w:cs="Arial" w:ascii="Arial" w:hAnsi="Arial"/>
          <w:color w:val="auto"/>
          <w:sz w:val="22"/>
          <w:szCs w:val="22"/>
        </w:rPr>
        <w:t>), emissão de nota de empenho de despesa, autorização de compra ou outro instrumento hábil.</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17 - DAS OBRIGAÇÕES DOS FORNECEDORES REGISTRADOS</w:t>
      </w:r>
    </w:p>
    <w:p>
      <w:pPr>
        <w:pStyle w:val="Normal"/>
        <w:spacing w:lineRule="auto" w:line="360"/>
        <w:jc w:val="both"/>
        <w:rPr>
          <w:color w:val="auto"/>
        </w:rPr>
      </w:pPr>
      <w:r>
        <w:rPr>
          <w:rFonts w:eastAsia="Arial" w:cs="Arial" w:ascii="Arial" w:hAnsi="Arial"/>
          <w:b/>
          <w:color w:val="auto"/>
          <w:sz w:val="22"/>
          <w:szCs w:val="22"/>
        </w:rPr>
        <w:t>17.1</w:t>
      </w:r>
      <w:r>
        <w:rPr>
          <w:rFonts w:eastAsia="Arial" w:cs="Arial" w:ascii="Arial" w:hAnsi="Arial"/>
          <w:color w:val="auto"/>
          <w:sz w:val="22"/>
          <w:szCs w:val="22"/>
        </w:rPr>
        <w:t xml:space="preserve"> - Além das obrigações legais, regulamentares e das demais constantes deste instrumento e seus anexos, constituem obrigações do Fornecedor Registrado, além da constante do Art. 89 e 92 da Lei n.º 14.133/21, as especificadas na minuta do contrato/ata de registro de preços.</w:t>
      </w:r>
    </w:p>
    <w:p>
      <w:pPr>
        <w:pStyle w:val="Normal"/>
        <w:spacing w:lineRule="auto" w:line="360"/>
        <w:jc w:val="both"/>
        <w:rPr>
          <w:color w:val="auto"/>
        </w:rPr>
      </w:pPr>
      <w:r>
        <w:rPr>
          <w:rFonts w:eastAsia="Arial" w:cs="Arial" w:ascii="Arial" w:hAnsi="Arial"/>
          <w:b/>
          <w:color w:val="auto"/>
          <w:sz w:val="22"/>
          <w:szCs w:val="22"/>
        </w:rPr>
        <w:t>17.2 -</w:t>
      </w:r>
      <w:r>
        <w:rPr>
          <w:rFonts w:eastAsia="Arial" w:cs="Arial" w:ascii="Arial" w:hAnsi="Arial"/>
          <w:color w:val="auto"/>
          <w:sz w:val="22"/>
          <w:szCs w:val="22"/>
        </w:rPr>
        <w:t xml:space="preserve"> </w:t>
      </w:r>
      <w:r>
        <w:rPr>
          <w:rFonts w:eastAsia="Arial" w:cs="Arial" w:ascii="Arial" w:hAnsi="Arial"/>
          <w:b/>
          <w:color w:val="auto"/>
          <w:sz w:val="22"/>
          <w:szCs w:val="22"/>
        </w:rPr>
        <w:t>E-MAIL INSTITUCIONAL</w:t>
      </w:r>
      <w:r>
        <w:rPr>
          <w:rFonts w:eastAsia="Arial" w:cs="Arial" w:ascii="Arial" w:hAnsi="Arial"/>
          <w:color w:val="auto"/>
          <w:sz w:val="22"/>
          <w:szCs w:val="22"/>
        </w:rPr>
        <w:t xml:space="preserve">: É dever empresa vencedora/contratada manter durante o período de vigência do contrato/serviço, e-mail institucional, oficial, atualizado, vigente e operacional, para executar os contatos oficiais com o </w:t>
      </w:r>
      <w:r>
        <w:rPr>
          <w:rFonts w:eastAsia="Arial" w:cs="Arial" w:ascii="Arial" w:hAnsi="Arial"/>
          <w:b/>
          <w:color w:val="auto"/>
          <w:sz w:val="22"/>
          <w:szCs w:val="22"/>
        </w:rPr>
        <w:t>CONTRATANTE</w:t>
      </w:r>
      <w:r>
        <w:rPr>
          <w:rFonts w:eastAsia="Arial" w:cs="Arial" w:ascii="Arial" w:hAnsi="Arial"/>
          <w:color w:val="auto"/>
          <w:sz w:val="22"/>
          <w:szCs w:val="22"/>
        </w:rPr>
        <w:t>, para realização de contratos, adendos, renovações, notificações, ofícios e todos demais atos administrativos.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18 – DA ATA DE REGISTRO DE PREÇOS</w:t>
      </w:r>
    </w:p>
    <w:p>
      <w:pPr>
        <w:pStyle w:val="Normal"/>
        <w:spacing w:lineRule="auto" w:line="360"/>
        <w:jc w:val="both"/>
        <w:rPr/>
      </w:pPr>
      <w:r>
        <w:rPr>
          <w:rFonts w:eastAsia="Arial" w:cs="Arial" w:ascii="Arial" w:hAnsi="Arial"/>
          <w:b/>
          <w:color w:val="auto"/>
          <w:sz w:val="22"/>
          <w:szCs w:val="22"/>
        </w:rPr>
        <w:t>18.1</w:t>
      </w:r>
      <w:r>
        <w:rPr>
          <w:rFonts w:eastAsia="Arial" w:cs="Arial" w:ascii="Arial" w:hAnsi="Arial"/>
          <w:color w:val="auto"/>
          <w:sz w:val="22"/>
          <w:szCs w:val="22"/>
        </w:rPr>
        <w:t xml:space="preserve"> - Encerrado o procedimento licitatório, o representante legal da empresa cuja proposta foi declarada vencedora será convocado via sistema eletrônico e e-mail para firmar/assinar a ARP ou instrumento equivalente, conforme minuta </w:t>
      </w:r>
      <w:hyperlink w:anchor="_heading=h.2s8eyo1">
        <w:r>
          <w:rPr>
            <w:rFonts w:eastAsia="Arial" w:cs="Arial" w:ascii="Arial" w:hAnsi="Arial"/>
            <w:b/>
            <w:color w:val="auto"/>
            <w:sz w:val="22"/>
            <w:szCs w:val="22"/>
            <w:u w:val="single"/>
          </w:rPr>
          <w:t>ANEXO (II)</w:t>
        </w:r>
      </w:hyperlink>
      <w:r>
        <w:rPr>
          <w:rFonts w:eastAsia="Arial" w:cs="Arial" w:ascii="Arial" w:hAnsi="Arial"/>
          <w:color w:val="auto"/>
          <w:sz w:val="22"/>
          <w:szCs w:val="22"/>
        </w:rPr>
        <w:t>, no prazo de 5 (cinco) dias úteis contados da convocação, podendo ser prorrogado uma vez por igual período desde que o motivo seja aceito pela administração, emitida pelo Setor Responsável, sob pena de decair do direito à contratação.</w:t>
      </w:r>
    </w:p>
    <w:p>
      <w:pPr>
        <w:pStyle w:val="Normal"/>
        <w:spacing w:lineRule="auto" w:line="360"/>
        <w:jc w:val="both"/>
        <w:rPr>
          <w:color w:val="auto"/>
        </w:rPr>
      </w:pPr>
      <w:r>
        <w:rPr>
          <w:rFonts w:eastAsia="Arial" w:cs="Arial" w:ascii="Arial" w:hAnsi="Arial"/>
          <w:b/>
          <w:color w:val="auto"/>
          <w:sz w:val="22"/>
          <w:szCs w:val="22"/>
        </w:rPr>
        <w:t>18.1.1</w:t>
      </w:r>
      <w:r>
        <w:rPr>
          <w:rFonts w:eastAsia="Arial" w:cs="Arial" w:ascii="Arial" w:hAnsi="Arial"/>
          <w:color w:val="auto"/>
          <w:sz w:val="22"/>
          <w:szCs w:val="22"/>
        </w:rPr>
        <w:t xml:space="preserve"> - Caso o adjudicatário não apresente situação regular no ato de assinatura do contrato ou recuse-se a assiná-lo, poderão ser convocados os licitantes remanescentes, observada a ordem de classificação para celebrar o contrato.</w:t>
      </w:r>
    </w:p>
    <w:p>
      <w:pPr>
        <w:pStyle w:val="Normal"/>
        <w:spacing w:lineRule="auto" w:line="360"/>
        <w:jc w:val="both"/>
        <w:rPr>
          <w:color w:val="auto"/>
        </w:rPr>
      </w:pPr>
      <w:r>
        <w:rPr>
          <w:rFonts w:eastAsia="Arial" w:cs="Arial" w:ascii="Arial" w:hAnsi="Arial"/>
          <w:b/>
          <w:color w:val="auto"/>
          <w:sz w:val="22"/>
          <w:szCs w:val="22"/>
        </w:rPr>
        <w:t>18.2</w:t>
      </w:r>
      <w:r>
        <w:rPr>
          <w:rFonts w:eastAsia="Arial" w:cs="Arial" w:ascii="Arial" w:hAnsi="Arial"/>
          <w:color w:val="auto"/>
          <w:sz w:val="22"/>
          <w:szCs w:val="22"/>
        </w:rPr>
        <w:t xml:space="preserve"> – a Ata de Registro de Preços celebrado poderá ser rescindido a qualquer momento, nos termos dos Art. 137 a 139 da Lei 14.133/21.</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19 – DAS OBRIGAÇÕES DO CONTRATANTE</w:t>
      </w:r>
      <w:r>
        <w:rPr>
          <w:rFonts w:eastAsia="Arial" w:cs="Arial" w:ascii="Arial" w:hAnsi="Arial"/>
          <w:b/>
          <w:color w:val="auto"/>
          <w:sz w:val="22"/>
          <w:szCs w:val="22"/>
        </w:rPr>
        <w:t xml:space="preserve"> </w:t>
      </w:r>
    </w:p>
    <w:p>
      <w:pPr>
        <w:pStyle w:val="Normal"/>
        <w:spacing w:lineRule="auto" w:line="360"/>
        <w:jc w:val="both"/>
        <w:rPr>
          <w:color w:val="auto"/>
        </w:rPr>
      </w:pPr>
      <w:r>
        <w:rPr>
          <w:rFonts w:eastAsia="Arial" w:cs="Arial" w:ascii="Arial" w:hAnsi="Arial"/>
          <w:b/>
          <w:color w:val="auto"/>
          <w:sz w:val="22"/>
          <w:szCs w:val="22"/>
        </w:rPr>
        <w:t>19.1</w:t>
      </w:r>
      <w:r>
        <w:rPr>
          <w:rFonts w:eastAsia="Arial" w:cs="Arial" w:ascii="Arial" w:hAnsi="Arial"/>
          <w:color w:val="auto"/>
          <w:sz w:val="22"/>
          <w:szCs w:val="22"/>
        </w:rPr>
        <w:t xml:space="preserve"> - O regime jurídico desta contratação confere ao contratante as prerrogativas do Art. 104 da Lei n° 14.133/21. </w:t>
      </w:r>
    </w:p>
    <w:p>
      <w:pPr>
        <w:pStyle w:val="Normal"/>
        <w:spacing w:lineRule="auto" w:line="360"/>
        <w:jc w:val="both"/>
        <w:rPr>
          <w:color w:val="auto"/>
        </w:rPr>
      </w:pPr>
      <w:r>
        <w:rPr>
          <w:rFonts w:eastAsia="Arial" w:cs="Arial" w:ascii="Arial" w:hAnsi="Arial"/>
          <w:b/>
          <w:color w:val="auto"/>
          <w:sz w:val="22"/>
          <w:szCs w:val="22"/>
        </w:rPr>
        <w:t>19.2</w:t>
      </w:r>
      <w:r>
        <w:rPr>
          <w:rFonts w:eastAsia="Arial" w:cs="Arial" w:ascii="Arial" w:hAnsi="Arial"/>
          <w:color w:val="auto"/>
          <w:sz w:val="22"/>
          <w:szCs w:val="22"/>
        </w:rPr>
        <w:t xml:space="preserve"> - Constituem obrigações do CONTRATANTE, além da constante do Art. 115 da Lei n.º 14.133/21, as especificadas na minuta do contrato/ata de RP.</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20 – DA FISCALIZAÇÃO</w:t>
      </w:r>
    </w:p>
    <w:p>
      <w:pPr>
        <w:pStyle w:val="Normal"/>
        <w:spacing w:lineRule="auto" w:line="360"/>
        <w:jc w:val="both"/>
        <w:rPr/>
      </w:pPr>
      <w:r>
        <w:rPr>
          <w:rFonts w:eastAsia="Arial" w:cs="Arial" w:ascii="Arial" w:hAnsi="Arial"/>
          <w:b/>
          <w:color w:val="auto"/>
          <w:sz w:val="22"/>
          <w:szCs w:val="22"/>
        </w:rPr>
        <w:t>20.1</w:t>
      </w:r>
      <w:r>
        <w:rPr>
          <w:rFonts w:eastAsia="Arial" w:cs="Arial" w:ascii="Arial" w:hAnsi="Arial"/>
          <w:color w:val="auto"/>
          <w:sz w:val="22"/>
          <w:szCs w:val="22"/>
        </w:rPr>
        <w:t xml:space="preserve"> – As condições de fiscalização estão contidas na Minuta da Ata de Registro de Preços.</w:t>
      </w:r>
      <w:r>
        <w:rPr>
          <w:rFonts w:eastAsia="Arial" w:cs="Arial" w:ascii="Arial" w:hAnsi="Arial"/>
          <w:b/>
          <w:color w:val="auto"/>
          <w:sz w:val="22"/>
          <w:szCs w:val="22"/>
        </w:rPr>
        <w:t xml:space="preserve"> </w:t>
      </w:r>
      <w:hyperlink w:anchor="_heading=h.2s8eyo1">
        <w:r>
          <w:rPr>
            <w:rFonts w:eastAsia="Arial" w:cs="Arial" w:ascii="Arial" w:hAnsi="Arial"/>
            <w:b/>
            <w:color w:val="auto"/>
            <w:sz w:val="22"/>
            <w:szCs w:val="22"/>
            <w:u w:val="single"/>
          </w:rPr>
          <w:t>ANEXO (II)</w:t>
        </w:r>
      </w:hyperlink>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21. DO PAGAMENTO</w:t>
      </w:r>
      <w:r>
        <w:rPr>
          <w:rFonts w:eastAsia="Arial" w:cs="Arial" w:ascii="Arial" w:hAnsi="Arial"/>
          <w:b/>
          <w:color w:val="auto"/>
          <w:sz w:val="22"/>
          <w:szCs w:val="22"/>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pPr>
      <w:r>
        <w:rPr>
          <w:rFonts w:eastAsia="Arial" w:cs="Arial" w:ascii="Arial" w:hAnsi="Arial"/>
          <w:b/>
          <w:color w:val="auto"/>
          <w:sz w:val="22"/>
          <w:szCs w:val="22"/>
        </w:rPr>
        <w:t>21.1</w:t>
      </w:r>
      <w:r>
        <w:rPr>
          <w:rFonts w:eastAsia="Arial" w:cs="Arial" w:ascii="Arial" w:hAnsi="Arial"/>
          <w:color w:val="auto"/>
          <w:sz w:val="22"/>
          <w:szCs w:val="22"/>
        </w:rPr>
        <w:t xml:space="preserve"> - As condições de pagamento estão contidas na Minuta da Ata de Registro de Preços.</w:t>
      </w:r>
      <w:r>
        <w:rPr>
          <w:rFonts w:eastAsia="Arial" w:cs="Arial" w:ascii="Arial" w:hAnsi="Arial"/>
          <w:b/>
          <w:color w:val="auto"/>
          <w:sz w:val="22"/>
          <w:szCs w:val="22"/>
        </w:rPr>
        <w:t xml:space="preserve"> </w:t>
      </w:r>
      <w:hyperlink w:anchor="_heading=h.2s8eyo1">
        <w:r>
          <w:rPr>
            <w:rFonts w:eastAsia="Arial" w:cs="Arial" w:ascii="Arial" w:hAnsi="Arial"/>
            <w:b/>
            <w:color w:val="auto"/>
            <w:sz w:val="22"/>
            <w:szCs w:val="22"/>
            <w:u w:val="single"/>
          </w:rPr>
          <w:t>ANEXO (II)</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22 - SANÇÕES ADMINISTRATIVAS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22.1 -</w:t>
      </w:r>
      <w:r>
        <w:rPr>
          <w:rFonts w:eastAsia="Arial" w:cs="Arial" w:ascii="Arial" w:hAnsi="Arial"/>
          <w:color w:val="auto"/>
          <w:sz w:val="22"/>
          <w:szCs w:val="22"/>
        </w:rPr>
        <w:t xml:space="preserve"> Das infrações e sanções aplicáveis aos licitantes quando: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22.1.1</w:t>
      </w:r>
      <w:r>
        <w:rPr>
          <w:rFonts w:eastAsia="Arial" w:cs="Arial" w:ascii="Arial" w:hAnsi="Arial"/>
          <w:color w:val="auto"/>
          <w:sz w:val="22"/>
          <w:szCs w:val="22"/>
        </w:rPr>
        <w:t xml:space="preserve"> - Deixar de entregar a documentação exigida para o certame, será aplicada as seguintes sanções: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0,5% do valor estimado para licitação em todos 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impedimento de licitar e contratar pelo prazo de 2(dois)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22.1.2</w:t>
      </w:r>
      <w:r>
        <w:rPr>
          <w:rFonts w:eastAsia="Arial" w:cs="Arial" w:ascii="Arial" w:hAnsi="Arial"/>
          <w:color w:val="auto"/>
          <w:sz w:val="22"/>
          <w:szCs w:val="22"/>
        </w:rPr>
        <w:t xml:space="preserve"> - Não manter a proposta, salvo em decorrência de fato superveniente devidamente justificado, será aplicada as seguintes sanções: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5% do valor estimado para licitação em todos 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impedimento de licitar e contratar pelo prazo de 2(dois)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 </w:t>
      </w:r>
      <w:r>
        <w:rPr>
          <w:rFonts w:eastAsia="Arial" w:cs="Arial" w:ascii="Arial" w:hAnsi="Arial"/>
          <w:b/>
          <w:color w:val="auto"/>
          <w:sz w:val="22"/>
          <w:szCs w:val="22"/>
        </w:rPr>
        <w:t>22.1.3 -</w:t>
      </w:r>
      <w:r>
        <w:rPr>
          <w:rFonts w:eastAsia="Arial" w:cs="Arial" w:ascii="Arial" w:hAnsi="Arial"/>
          <w:color w:val="auto"/>
          <w:sz w:val="22"/>
          <w:szCs w:val="22"/>
        </w:rPr>
        <w:t xml:space="preserve"> Não celebrar o contrato ou não entregar a documentação exigida para a contratação, quando convocado dentro do prazo de validade de sua proposta, será aplicada as seguintes sanções: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5% do valor estimado para licitação em todos 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impedimento de licitar e contratar pelo prazo de 3(três)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 </w:t>
      </w:r>
      <w:r>
        <w:rPr>
          <w:rFonts w:eastAsia="Arial" w:cs="Arial" w:ascii="Arial" w:hAnsi="Arial"/>
          <w:b/>
          <w:color w:val="auto"/>
          <w:sz w:val="22"/>
          <w:szCs w:val="22"/>
        </w:rPr>
        <w:t>22.1.4</w:t>
      </w:r>
      <w:r>
        <w:rPr>
          <w:rFonts w:eastAsia="Arial" w:cs="Arial" w:ascii="Arial" w:hAnsi="Arial"/>
          <w:color w:val="auto"/>
          <w:sz w:val="22"/>
          <w:szCs w:val="22"/>
        </w:rPr>
        <w:t xml:space="preserve">  - Apresentar declaração ou documentação falsa exigida para o certame ou prestar declaração falsa durante a licitação ou a execução do contrato, será aplicada as seguintes sanções: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30% do valor estimado para licitação nos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declaração de inidoneidade para licitar ou contratar pelo período de 4(quatro)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22.1.5</w:t>
      </w:r>
      <w:r>
        <w:rPr>
          <w:rFonts w:eastAsia="Arial" w:cs="Arial" w:ascii="Arial" w:hAnsi="Arial"/>
          <w:color w:val="auto"/>
          <w:sz w:val="22"/>
          <w:szCs w:val="22"/>
        </w:rPr>
        <w:t xml:space="preserve"> - Fraudar a licitação ou praticar ato fraudulento na execução do contrato;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30% do valor estimado para licitação nos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declaração de inidoneidade para licitar ou contratar pelo período de 4(quatro)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 </w:t>
      </w:r>
      <w:r>
        <w:rPr>
          <w:rFonts w:eastAsia="Arial" w:cs="Arial" w:ascii="Arial" w:hAnsi="Arial"/>
          <w:b/>
          <w:color w:val="auto"/>
          <w:sz w:val="22"/>
          <w:szCs w:val="22"/>
        </w:rPr>
        <w:t>22.1.6</w:t>
      </w:r>
      <w:r>
        <w:rPr>
          <w:rFonts w:eastAsia="Arial" w:cs="Arial" w:ascii="Arial" w:hAnsi="Arial"/>
          <w:color w:val="auto"/>
          <w:sz w:val="22"/>
          <w:szCs w:val="22"/>
        </w:rPr>
        <w:t xml:space="preserve"> - Comportar-se de modo inidôneo ou cometer fraude de qualquer natureza;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30% do valor estimado para licitação nos itens propostos pelo licitante.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declaração de inidoneidade para licitar ou contratar pelo período de 4(quatro)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 </w:t>
      </w:r>
      <w:r>
        <w:rPr>
          <w:rFonts w:eastAsia="Arial" w:cs="Arial" w:ascii="Arial" w:hAnsi="Arial"/>
          <w:b/>
          <w:color w:val="auto"/>
          <w:sz w:val="22"/>
          <w:szCs w:val="22"/>
        </w:rPr>
        <w:t>22.1.7</w:t>
      </w:r>
      <w:r>
        <w:rPr>
          <w:rFonts w:eastAsia="Arial" w:cs="Arial" w:ascii="Arial" w:hAnsi="Arial"/>
          <w:color w:val="auto"/>
          <w:sz w:val="22"/>
          <w:szCs w:val="22"/>
        </w:rPr>
        <w:t xml:space="preserve"> - Praticar atos ilícitos com vistas a frustrar os objetivos da licitação;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30% do valor estimado para licitação nos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declaração de inidoneidade para licitar ou contratar pelo período de 4(quatro) anos.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 </w:t>
      </w:r>
      <w:r>
        <w:rPr>
          <w:rFonts w:eastAsia="Arial" w:cs="Arial" w:ascii="Arial" w:hAnsi="Arial"/>
          <w:b/>
          <w:color w:val="auto"/>
          <w:sz w:val="22"/>
          <w:szCs w:val="22"/>
        </w:rPr>
        <w:t>22.1.8</w:t>
      </w:r>
      <w:r>
        <w:rPr>
          <w:rFonts w:eastAsia="Arial" w:cs="Arial" w:ascii="Arial" w:hAnsi="Arial"/>
          <w:color w:val="auto"/>
          <w:sz w:val="22"/>
          <w:szCs w:val="22"/>
        </w:rPr>
        <w:t xml:space="preserve"> - Praticar ato lesivo previsto no art. 5º da Lei nº 12.846, de 1º de agosto de 2013.</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multa no percentual de 30% do valor estimado para licitação nos itens propostos pelo licitante.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declaração de inidoneidade para licitar ou contratar pelo período de 4(quatro) anos.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23 – DO REAJUSTAMENTO</w:t>
      </w:r>
    </w:p>
    <w:p>
      <w:pPr>
        <w:pStyle w:val="Normal"/>
        <w:spacing w:lineRule="auto" w:line="360"/>
        <w:jc w:val="both"/>
        <w:rPr/>
      </w:pPr>
      <w:r>
        <w:rPr>
          <w:rFonts w:eastAsia="Arial" w:cs="Arial" w:ascii="Arial" w:hAnsi="Arial"/>
          <w:color w:val="auto"/>
          <w:sz w:val="22"/>
          <w:szCs w:val="22"/>
        </w:rPr>
        <w:t>23.1 - As condições de reajustamento estão contidas na Minuta da Ata de Registro de Preços.</w:t>
      </w:r>
      <w:r>
        <w:rPr>
          <w:rFonts w:eastAsia="Arial" w:cs="Arial" w:ascii="Arial" w:hAnsi="Arial"/>
          <w:b/>
          <w:color w:val="auto"/>
          <w:sz w:val="22"/>
          <w:szCs w:val="22"/>
        </w:rPr>
        <w:t xml:space="preserve"> </w:t>
      </w:r>
      <w:hyperlink w:anchor="_heading=h.2s8eyo1">
        <w:r>
          <w:rPr>
            <w:rFonts w:eastAsia="Arial" w:cs="Arial" w:ascii="Arial" w:hAnsi="Arial"/>
            <w:b/>
            <w:color w:val="auto"/>
            <w:sz w:val="22"/>
            <w:szCs w:val="22"/>
            <w:u w:val="single"/>
          </w:rPr>
          <w:t>ANEXO (II)</w:t>
        </w:r>
      </w:hyperlink>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24 – DO ACRÉSCIMO/SUPRESSÃO</w:t>
      </w:r>
    </w:p>
    <w:p>
      <w:pPr>
        <w:pStyle w:val="Normal"/>
        <w:spacing w:lineRule="auto" w:line="360"/>
        <w:jc w:val="both"/>
        <w:rPr>
          <w:color w:val="auto"/>
        </w:rPr>
      </w:pPr>
      <w:r>
        <w:rPr>
          <w:rFonts w:eastAsia="Arial" w:cs="Arial" w:ascii="Arial" w:hAnsi="Arial"/>
          <w:b/>
          <w:color w:val="auto"/>
          <w:sz w:val="22"/>
          <w:szCs w:val="22"/>
        </w:rPr>
        <w:t>24.1</w:t>
      </w:r>
      <w:r>
        <w:rPr>
          <w:rFonts w:eastAsia="Arial" w:cs="Arial" w:ascii="Arial" w:hAnsi="Arial"/>
          <w:color w:val="auto"/>
          <w:sz w:val="22"/>
          <w:szCs w:val="22"/>
        </w:rPr>
        <w:t xml:space="preserve"> - É vedado efetuar acréscimos nos quantitativos fixados pela Ata de Registro de Preços, inclusive o acréscimo de que trata o art. 125 da Lei nº 14.133/21.</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25 – DO CANCELAMENTO DO REGISTRO</w:t>
      </w:r>
    </w:p>
    <w:p>
      <w:pPr>
        <w:pStyle w:val="Normal"/>
        <w:spacing w:lineRule="auto" w:line="360"/>
        <w:jc w:val="both"/>
        <w:rPr/>
      </w:pPr>
      <w:r>
        <w:rPr>
          <w:rFonts w:eastAsia="Arial" w:cs="Arial" w:ascii="Arial" w:hAnsi="Arial"/>
          <w:b/>
          <w:color w:val="auto"/>
          <w:sz w:val="22"/>
          <w:szCs w:val="22"/>
        </w:rPr>
        <w:t>25.1</w:t>
      </w:r>
      <w:r>
        <w:rPr>
          <w:rFonts w:eastAsia="Arial" w:cs="Arial" w:ascii="Arial" w:hAnsi="Arial"/>
          <w:color w:val="auto"/>
          <w:sz w:val="22"/>
          <w:szCs w:val="22"/>
        </w:rPr>
        <w:t xml:space="preserve"> – As condições de registro estão contidas na Minuta da Ata de Registro de Preços.</w:t>
      </w:r>
      <w:r>
        <w:rPr>
          <w:rFonts w:eastAsia="Arial" w:cs="Arial" w:ascii="Arial" w:hAnsi="Arial"/>
          <w:b/>
          <w:color w:val="auto"/>
          <w:sz w:val="22"/>
          <w:szCs w:val="22"/>
        </w:rPr>
        <w:t xml:space="preserve"> </w:t>
      </w:r>
      <w:hyperlink w:anchor="_heading=h.2s8eyo1">
        <w:r>
          <w:rPr>
            <w:rFonts w:eastAsia="Arial" w:cs="Arial" w:ascii="Arial" w:hAnsi="Arial"/>
            <w:b/>
            <w:color w:val="auto"/>
            <w:sz w:val="22"/>
            <w:szCs w:val="22"/>
            <w:u w:val="single"/>
          </w:rPr>
          <w:t>ANEXO (II)</w:t>
        </w:r>
      </w:hyperlink>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hd w:val="clear" w:color="auto" w:fill="D9D9D9"/>
        <w:spacing w:lineRule="auto" w:line="360"/>
        <w:jc w:val="both"/>
        <w:rPr>
          <w:color w:val="auto"/>
        </w:rPr>
      </w:pPr>
      <w:r>
        <w:rPr>
          <w:rFonts w:eastAsia="Arial" w:cs="Arial" w:ascii="Arial" w:hAnsi="Arial"/>
          <w:b/>
          <w:color w:val="auto"/>
          <w:sz w:val="22"/>
          <w:szCs w:val="22"/>
        </w:rPr>
        <w:t>26 - DISPOSIÇÕES GERAIS</w:t>
      </w:r>
    </w:p>
    <w:p>
      <w:pPr>
        <w:pStyle w:val="Normal"/>
        <w:spacing w:lineRule="auto" w:line="360"/>
        <w:jc w:val="both"/>
        <w:rPr>
          <w:color w:val="auto"/>
        </w:rPr>
      </w:pPr>
      <w:r>
        <w:rPr>
          <w:rFonts w:eastAsia="Arial" w:cs="Arial" w:ascii="Arial" w:hAnsi="Arial"/>
          <w:b/>
          <w:color w:val="auto"/>
          <w:sz w:val="22"/>
          <w:szCs w:val="22"/>
        </w:rPr>
        <w:t>26.1</w:t>
      </w:r>
      <w:r>
        <w:rPr>
          <w:rFonts w:eastAsia="Arial" w:cs="Arial" w:ascii="Arial" w:hAnsi="Arial"/>
          <w:color w:val="auto"/>
          <w:sz w:val="22"/>
          <w:szCs w:val="22"/>
        </w:rPr>
        <w:t xml:space="preserve"> - É facultado ao(a) </w:t>
      </w:r>
      <w:r>
        <w:rPr>
          <w:rFonts w:eastAsia="Arial" w:cs="Arial" w:ascii="Arial" w:hAnsi="Arial"/>
          <w:b/>
          <w:color w:val="auto"/>
          <w:sz w:val="22"/>
          <w:szCs w:val="22"/>
        </w:rPr>
        <w:t>PREGOEIRO(A)</w:t>
      </w:r>
      <w:r>
        <w:rPr>
          <w:rFonts w:eastAsia="Arial" w:cs="Arial" w:ascii="Arial" w:hAnsi="Arial"/>
          <w:color w:val="auto"/>
          <w:sz w:val="22"/>
          <w:szCs w:val="22"/>
        </w:rPr>
        <w:t xml:space="preserve"> ou a </w:t>
      </w:r>
      <w:r>
        <w:rPr>
          <w:rFonts w:eastAsia="Arial" w:cs="Arial" w:ascii="Arial" w:hAnsi="Arial"/>
          <w:b/>
          <w:color w:val="auto"/>
          <w:sz w:val="22"/>
          <w:szCs w:val="22"/>
        </w:rPr>
        <w:t>AUTORIDADE COMPETENTE</w:t>
      </w:r>
      <w:r>
        <w:rPr>
          <w:rFonts w:eastAsia="Arial" w:cs="Arial" w:ascii="Arial" w:hAnsi="Arial"/>
          <w:color w:val="auto"/>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pPr>
        <w:pStyle w:val="Normal"/>
        <w:spacing w:lineRule="auto" w:line="360"/>
        <w:jc w:val="both"/>
        <w:rPr>
          <w:color w:val="auto"/>
        </w:rPr>
      </w:pPr>
      <w:r>
        <w:rPr>
          <w:rFonts w:eastAsia="Arial" w:cs="Arial" w:ascii="Arial" w:hAnsi="Arial"/>
          <w:b/>
          <w:color w:val="auto"/>
          <w:sz w:val="22"/>
          <w:szCs w:val="22"/>
        </w:rPr>
        <w:t>26.2</w:t>
      </w:r>
      <w:r>
        <w:rPr>
          <w:rFonts w:eastAsia="Arial" w:cs="Arial" w:ascii="Arial" w:hAnsi="Arial"/>
          <w:color w:val="auto"/>
          <w:sz w:val="22"/>
          <w:szCs w:val="22"/>
        </w:rPr>
        <w:t xml:space="preserve"> – Qualquer solicitação de prorrogação de prazo para o fornecimento, decorrentes desta licitação, somente será analisada se apresentada antes do decurso do prazo para tal e devidamente fundamentada.</w:t>
      </w:r>
    </w:p>
    <w:p>
      <w:pPr>
        <w:pStyle w:val="Normal"/>
        <w:spacing w:lineRule="auto" w:line="360"/>
        <w:jc w:val="both"/>
        <w:rPr>
          <w:color w:val="auto"/>
        </w:rPr>
      </w:pPr>
      <w:r>
        <w:rPr>
          <w:rFonts w:eastAsia="Arial" w:cs="Arial" w:ascii="Arial" w:hAnsi="Arial"/>
          <w:b/>
          <w:color w:val="auto"/>
          <w:sz w:val="22"/>
          <w:szCs w:val="22"/>
        </w:rPr>
        <w:t>26.3 –</w:t>
      </w:r>
      <w:r>
        <w:rPr>
          <w:rFonts w:eastAsia="Arial" w:cs="Arial" w:ascii="Arial" w:hAnsi="Arial"/>
          <w:color w:val="auto"/>
          <w:sz w:val="22"/>
          <w:szCs w:val="22"/>
        </w:rPr>
        <w:t xml:space="preserve"> Será dada vista aos proponentes interessados tanto nas propostas comerciais como dos documentos de habilitação apresentados na sessão.</w:t>
      </w:r>
    </w:p>
    <w:p>
      <w:pPr>
        <w:pStyle w:val="Normal"/>
        <w:spacing w:lineRule="auto" w:line="360"/>
        <w:jc w:val="both"/>
        <w:rPr>
          <w:color w:val="auto"/>
        </w:rPr>
      </w:pPr>
      <w:r>
        <w:rPr>
          <w:rFonts w:eastAsia="Arial" w:cs="Arial" w:ascii="Arial" w:hAnsi="Arial"/>
          <w:b/>
          <w:color w:val="auto"/>
          <w:sz w:val="22"/>
          <w:szCs w:val="22"/>
        </w:rPr>
        <w:t>26.4 -</w:t>
      </w:r>
      <w:r>
        <w:rPr>
          <w:rFonts w:eastAsia="Arial" w:cs="Arial" w:ascii="Arial" w:hAnsi="Arial"/>
          <w:color w:val="auto"/>
          <w:sz w:val="22"/>
          <w:szCs w:val="22"/>
        </w:rPr>
        <w:t xml:space="preserve"> A existência de preços registrados implicará compromisso de fornecimento nas condições estabelecidas, mas não obrigará a Administração a contratar em sua totalidade, sendo que as contrações se darão de acordo com a demanda do município.</w:t>
      </w:r>
    </w:p>
    <w:p>
      <w:pPr>
        <w:pStyle w:val="Normal"/>
        <w:spacing w:lineRule="auto" w:line="360"/>
        <w:jc w:val="both"/>
        <w:rPr>
          <w:color w:val="auto"/>
        </w:rPr>
      </w:pPr>
      <w:r>
        <w:rPr>
          <w:rFonts w:eastAsia="Arial" w:cs="Arial" w:ascii="Arial" w:hAnsi="Arial"/>
          <w:b/>
          <w:color w:val="auto"/>
          <w:sz w:val="22"/>
          <w:szCs w:val="22"/>
        </w:rPr>
        <w:t xml:space="preserve">26.5 - </w:t>
      </w:r>
      <w:r>
        <w:rPr>
          <w:rFonts w:eastAsia="Arial" w:cs="Arial" w:ascii="Arial" w:hAnsi="Arial"/>
          <w:color w:val="auto"/>
          <w:sz w:val="22"/>
          <w:szCs w:val="22"/>
        </w:rPr>
        <w:t xml:space="preserve">É vedado à </w:t>
      </w:r>
      <w:r>
        <w:rPr>
          <w:rFonts w:eastAsia="Arial" w:cs="Arial" w:ascii="Arial" w:hAnsi="Arial"/>
          <w:b/>
          <w:color w:val="auto"/>
          <w:sz w:val="22"/>
          <w:szCs w:val="22"/>
        </w:rPr>
        <w:t>contratada</w:t>
      </w:r>
      <w:r>
        <w:rPr>
          <w:rFonts w:eastAsia="Arial" w:cs="Arial" w:ascii="Arial" w:hAnsi="Arial"/>
          <w:color w:val="auto"/>
          <w:sz w:val="22"/>
          <w:szCs w:val="22"/>
        </w:rPr>
        <w:t xml:space="preserve"> subcontratar total ou parcialmente o fornecimento sem autorização expressa da Administração.</w:t>
      </w:r>
    </w:p>
    <w:p>
      <w:pPr>
        <w:pStyle w:val="Normal"/>
        <w:spacing w:lineRule="auto" w:line="360"/>
        <w:jc w:val="both"/>
        <w:rPr>
          <w:color w:val="auto"/>
        </w:rPr>
      </w:pPr>
      <w:r>
        <w:rPr>
          <w:rFonts w:eastAsia="Arial" w:cs="Arial" w:ascii="Arial" w:hAnsi="Arial"/>
          <w:b/>
          <w:color w:val="auto"/>
          <w:sz w:val="22"/>
          <w:szCs w:val="22"/>
        </w:rPr>
        <w:t>26.6</w:t>
      </w:r>
      <w:r>
        <w:rPr>
          <w:rFonts w:eastAsia="Arial" w:cs="Arial" w:ascii="Arial" w:hAnsi="Arial"/>
          <w:color w:val="auto"/>
          <w:sz w:val="22"/>
          <w:szCs w:val="22"/>
        </w:rPr>
        <w:t xml:space="preserve"> - A presente Licitação somente poderá ser revogada por razões de interesse público, por motivo de conveniência e oportunidade, decorrente de fato superveniente devidamente comprovado; ou anulada, em todo ou em parte, por ilegalidade insanável de ofício ou por provocação de terceiros, mediante parecer escrito e devidamente comprovado.</w:t>
      </w:r>
    </w:p>
    <w:p>
      <w:pPr>
        <w:pStyle w:val="Normal"/>
        <w:spacing w:lineRule="auto" w:line="360"/>
        <w:jc w:val="both"/>
        <w:rPr>
          <w:color w:val="auto"/>
        </w:rPr>
      </w:pPr>
      <w:r>
        <w:rPr>
          <w:rFonts w:eastAsia="Arial" w:cs="Arial" w:ascii="Arial" w:hAnsi="Arial"/>
          <w:b/>
          <w:color w:val="auto"/>
          <w:sz w:val="22"/>
          <w:szCs w:val="22"/>
        </w:rPr>
        <w:t xml:space="preserve">26.7 </w:t>
      </w:r>
      <w:r>
        <w:rPr>
          <w:rFonts w:eastAsia="Arial" w:cs="Arial" w:ascii="Arial" w:hAnsi="Arial"/>
          <w:color w:val="auto"/>
          <w:sz w:val="22"/>
          <w:szCs w:val="22"/>
        </w:rPr>
        <w:t xml:space="preserve">– O(a) </w:t>
      </w:r>
      <w:r>
        <w:rPr>
          <w:rFonts w:eastAsia="Arial" w:cs="Arial" w:ascii="Arial" w:hAnsi="Arial"/>
          <w:b/>
          <w:color w:val="auto"/>
          <w:sz w:val="22"/>
          <w:szCs w:val="22"/>
        </w:rPr>
        <w:t>PREGOEIRO(a)</w:t>
      </w:r>
      <w:r>
        <w:rPr>
          <w:rFonts w:eastAsia="Arial" w:cs="Arial" w:ascii="Arial" w:hAnsi="Arial"/>
          <w:color w:val="auto"/>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pPr>
        <w:pStyle w:val="Normal"/>
        <w:spacing w:lineRule="auto" w:line="360"/>
        <w:jc w:val="both"/>
        <w:rPr>
          <w:color w:val="auto"/>
        </w:rPr>
      </w:pPr>
      <w:r>
        <w:rPr>
          <w:rFonts w:eastAsia="Arial" w:cs="Arial" w:ascii="Arial" w:hAnsi="Arial"/>
          <w:b/>
          <w:color w:val="auto"/>
          <w:sz w:val="22"/>
          <w:szCs w:val="22"/>
        </w:rPr>
        <w:t xml:space="preserve">26.8 – </w:t>
      </w:r>
      <w:r>
        <w:rPr>
          <w:rFonts w:eastAsia="Arial" w:cs="Arial" w:ascii="Arial" w:hAnsi="Arial"/>
          <w:color w:val="auto"/>
          <w:sz w:val="22"/>
          <w:szCs w:val="22"/>
        </w:rPr>
        <w:t xml:space="preserve">É vedado ao </w:t>
      </w:r>
      <w:r>
        <w:rPr>
          <w:rFonts w:eastAsia="Arial" w:cs="Arial" w:ascii="Arial" w:hAnsi="Arial"/>
          <w:b/>
          <w:color w:val="auto"/>
          <w:sz w:val="22"/>
          <w:szCs w:val="22"/>
        </w:rPr>
        <w:t>fornecedor</w:t>
      </w:r>
      <w:r>
        <w:rPr>
          <w:rFonts w:eastAsia="Arial" w:cs="Arial" w:ascii="Arial" w:hAnsi="Arial"/>
          <w:color w:val="auto"/>
          <w:sz w:val="22"/>
          <w:szCs w:val="22"/>
        </w:rPr>
        <w:t xml:space="preserve"> retirar sua proposta ou parte dela após aberta a sessão do pregão.</w:t>
      </w:r>
    </w:p>
    <w:p>
      <w:pPr>
        <w:pStyle w:val="Normal"/>
        <w:spacing w:lineRule="auto" w:line="360"/>
        <w:jc w:val="both"/>
        <w:rPr/>
      </w:pPr>
      <w:r>
        <w:rPr>
          <w:rFonts w:eastAsia="Arial" w:cs="Arial" w:ascii="Arial" w:hAnsi="Arial"/>
          <w:b/>
          <w:color w:val="auto"/>
          <w:sz w:val="22"/>
          <w:szCs w:val="22"/>
        </w:rPr>
        <w:t>26.9</w:t>
      </w:r>
      <w:r>
        <w:rPr>
          <w:rFonts w:eastAsia="Arial" w:cs="Arial" w:ascii="Arial" w:hAnsi="Arial"/>
          <w:color w:val="auto"/>
          <w:sz w:val="22"/>
          <w:szCs w:val="22"/>
        </w:rPr>
        <w:t xml:space="preserve"> - Informações sobre o andamento da licitação poderão ser obtidas junto ao(a) Pregoeiro(a), nos dias úteis, das 07:30h às 12h e das 14h às 17:30h ou pelo telefone (33)3731-8530 e e-mail: licitacao@aracuai.mg.gov.br. Ainda, poderão ser acompanhadas as fases através do Portal Eletrônico </w:t>
      </w:r>
      <w:hyperlink r:id="rId12">
        <w:r>
          <w:rPr>
            <w:rFonts w:eastAsia="Arial" w:cs="Arial" w:ascii="Arial" w:hAnsi="Arial"/>
            <w:color w:val="auto"/>
            <w:sz w:val="22"/>
            <w:szCs w:val="22"/>
            <w:u w:val="single"/>
          </w:rPr>
          <w:t>http://www.licitardigital.com.br</w:t>
        </w:r>
      </w:hyperlink>
      <w:r>
        <w:rPr>
          <w:rFonts w:eastAsia="Arial" w:cs="Arial" w:ascii="Arial" w:hAnsi="Arial"/>
          <w:color w:val="auto"/>
          <w:sz w:val="22"/>
          <w:szCs w:val="22"/>
        </w:rPr>
        <w:t>.</w:t>
      </w:r>
    </w:p>
    <w:p>
      <w:pPr>
        <w:pStyle w:val="Normal"/>
        <w:spacing w:lineRule="auto" w:line="360"/>
        <w:jc w:val="both"/>
        <w:rPr/>
      </w:pPr>
      <w:r>
        <w:rPr>
          <w:rFonts w:eastAsia="Arial" w:cs="Arial" w:ascii="Arial" w:hAnsi="Arial"/>
          <w:b/>
          <w:color w:val="auto"/>
          <w:sz w:val="22"/>
          <w:szCs w:val="22"/>
        </w:rPr>
        <w:t xml:space="preserve">26.10 - </w:t>
      </w:r>
      <w:r>
        <w:rPr>
          <w:rFonts w:eastAsia="Arial" w:cs="Arial" w:ascii="Arial" w:hAnsi="Arial"/>
          <w:color w:val="auto"/>
          <w:sz w:val="22"/>
          <w:szCs w:val="22"/>
        </w:rPr>
        <w:t xml:space="preserve">Interessados poderão adquirir cópia do Edital somente via download do arquivo através do Portal Eletrônico </w:t>
      </w:r>
      <w:hyperlink r:id="rId13">
        <w:r>
          <w:rPr>
            <w:rFonts w:eastAsia="Arial" w:cs="Arial" w:ascii="Arial" w:hAnsi="Arial"/>
            <w:color w:val="auto"/>
            <w:sz w:val="22"/>
            <w:szCs w:val="22"/>
            <w:u w:val="single"/>
          </w:rPr>
          <w:t>http://www.licitardigital.com.br</w:t>
        </w:r>
      </w:hyperlink>
      <w:r>
        <w:rPr>
          <w:rFonts w:eastAsia="Arial" w:cs="Arial" w:ascii="Arial" w:hAnsi="Arial"/>
          <w:color w:val="auto"/>
          <w:sz w:val="22"/>
          <w:szCs w:val="22"/>
        </w:rPr>
        <w:t xml:space="preserve"> ou www.aracuai.mg.gov.br.</w:t>
      </w:r>
    </w:p>
    <w:p>
      <w:pPr>
        <w:pStyle w:val="Normal"/>
        <w:spacing w:lineRule="auto" w:line="360"/>
        <w:jc w:val="both"/>
        <w:rPr>
          <w:color w:val="auto"/>
        </w:rPr>
      </w:pPr>
      <w:r>
        <w:rPr>
          <w:rFonts w:eastAsia="Arial" w:cs="Arial" w:ascii="Arial" w:hAnsi="Arial"/>
          <w:b/>
          <w:color w:val="auto"/>
          <w:sz w:val="22"/>
          <w:szCs w:val="22"/>
        </w:rPr>
        <w:t>26.11</w:t>
      </w:r>
      <w:r>
        <w:rPr>
          <w:rFonts w:eastAsia="Arial" w:cs="Arial" w:ascii="Arial" w:hAnsi="Arial"/>
          <w:color w:val="auto"/>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pPr>
        <w:pStyle w:val="Normal"/>
        <w:spacing w:lineRule="auto" w:line="360"/>
        <w:jc w:val="both"/>
        <w:rPr>
          <w:color w:val="auto"/>
        </w:rPr>
      </w:pPr>
      <w:r>
        <w:rPr>
          <w:rFonts w:eastAsia="Arial" w:cs="Arial" w:ascii="Arial" w:hAnsi="Arial"/>
          <w:b/>
          <w:color w:val="auto"/>
          <w:sz w:val="22"/>
          <w:szCs w:val="22"/>
        </w:rPr>
        <w:t>26.12</w:t>
      </w:r>
      <w:r>
        <w:rPr>
          <w:rFonts w:eastAsia="Arial" w:cs="Arial" w:ascii="Arial" w:hAnsi="Arial"/>
          <w:color w:val="auto"/>
          <w:sz w:val="22"/>
          <w:szCs w:val="22"/>
        </w:rPr>
        <w:t xml:space="preserve"> - No caso de eventual divergência entre o Edital de Licitação e seus anexos, prevalecerão as disposições do primeiro.</w:t>
      </w:r>
    </w:p>
    <w:p>
      <w:pPr>
        <w:pStyle w:val="Normal"/>
        <w:spacing w:lineRule="auto" w:line="360"/>
        <w:jc w:val="both"/>
        <w:rPr>
          <w:color w:val="auto"/>
        </w:rPr>
      </w:pPr>
      <w:r>
        <w:rPr>
          <w:rFonts w:eastAsia="Arial" w:cs="Arial" w:ascii="Arial" w:hAnsi="Arial"/>
          <w:b/>
          <w:color w:val="auto"/>
          <w:sz w:val="22"/>
          <w:szCs w:val="22"/>
        </w:rPr>
        <w:t>26.13</w:t>
      </w:r>
      <w:r>
        <w:rPr>
          <w:rFonts w:eastAsia="Arial" w:cs="Arial" w:ascii="Arial" w:hAnsi="Arial"/>
          <w:color w:val="auto"/>
          <w:sz w:val="22"/>
          <w:szCs w:val="22"/>
        </w:rPr>
        <w:t xml:space="preserve"> - Na contagem dos prazos estabelecidos neste Edital e seus Anexos, excluir-se-á o dia do início e incluir-se-á o do vencimento. Só se iniciam e vencem os prazos em dias de expediente na Administração.</w:t>
      </w:r>
    </w:p>
    <w:p>
      <w:pPr>
        <w:pStyle w:val="Normal"/>
        <w:spacing w:lineRule="auto" w:line="360"/>
        <w:jc w:val="both"/>
        <w:rPr>
          <w:color w:val="auto"/>
        </w:rPr>
      </w:pPr>
      <w:r>
        <w:rPr>
          <w:rFonts w:eastAsia="Arial" w:cs="Arial" w:ascii="Arial" w:hAnsi="Arial"/>
          <w:b/>
          <w:color w:val="auto"/>
          <w:sz w:val="22"/>
          <w:szCs w:val="22"/>
        </w:rPr>
        <w:t>26.13.1.</w:t>
      </w:r>
      <w:r>
        <w:rPr>
          <w:rFonts w:eastAsia="Arial" w:cs="Arial" w:ascii="Arial" w:hAnsi="Arial"/>
          <w:color w:val="auto"/>
          <w:sz w:val="22"/>
          <w:szCs w:val="22"/>
        </w:rPr>
        <w:t xml:space="preserve"> Considera-se dia do começo do prazo:</w:t>
      </w:r>
    </w:p>
    <w:p>
      <w:pPr>
        <w:pStyle w:val="Normal"/>
        <w:spacing w:lineRule="auto" w:line="360"/>
        <w:jc w:val="both"/>
        <w:rPr>
          <w:color w:val="auto"/>
        </w:rPr>
      </w:pPr>
      <w:bookmarkStart w:id="7" w:name="bookmark=id.3dy6vkm"/>
      <w:bookmarkEnd w:id="7"/>
      <w:r>
        <w:rPr>
          <w:rFonts w:eastAsia="Arial" w:cs="Arial" w:ascii="Arial" w:hAnsi="Arial"/>
          <w:b/>
          <w:color w:val="auto"/>
          <w:sz w:val="22"/>
          <w:szCs w:val="22"/>
        </w:rPr>
        <w:t>a)</w:t>
      </w:r>
      <w:r>
        <w:rPr>
          <w:rFonts w:eastAsia="Arial" w:cs="Arial" w:ascii="Arial" w:hAnsi="Arial"/>
          <w:color w:val="auto"/>
          <w:sz w:val="22"/>
          <w:szCs w:val="22"/>
        </w:rPr>
        <w:t xml:space="preserve"> o primeiro dia útil seguinte ao da disponibilização da informação na internet;</w:t>
      </w:r>
    </w:p>
    <w:p>
      <w:pPr>
        <w:pStyle w:val="Normal"/>
        <w:spacing w:lineRule="auto" w:line="360"/>
        <w:jc w:val="both"/>
        <w:rPr>
          <w:color w:val="auto"/>
        </w:rPr>
      </w:pPr>
      <w:bookmarkStart w:id="8" w:name="bookmark=id.1t3h5sf"/>
      <w:bookmarkEnd w:id="8"/>
      <w:r>
        <w:rPr>
          <w:rFonts w:eastAsia="Arial" w:cs="Arial" w:ascii="Arial" w:hAnsi="Arial"/>
          <w:b/>
          <w:color w:val="auto"/>
          <w:sz w:val="22"/>
          <w:szCs w:val="22"/>
        </w:rPr>
        <w:t>b)</w:t>
      </w:r>
      <w:r>
        <w:rPr>
          <w:rFonts w:eastAsia="Arial" w:cs="Arial" w:ascii="Arial" w:hAnsi="Arial"/>
          <w:color w:val="auto"/>
          <w:sz w:val="22"/>
          <w:szCs w:val="22"/>
        </w:rPr>
        <w:t xml:space="preserve"> a data de juntada aos autos do aviso de recebimento, quando a notificação for pelos correios.</w:t>
      </w:r>
    </w:p>
    <w:p>
      <w:pPr>
        <w:pStyle w:val="Normal"/>
        <w:spacing w:lineRule="auto" w:line="360"/>
        <w:jc w:val="both"/>
        <w:rPr>
          <w:color w:val="auto"/>
        </w:rPr>
      </w:pPr>
      <w:r>
        <w:rPr>
          <w:rFonts w:eastAsia="Arial" w:cs="Arial" w:ascii="Arial" w:hAnsi="Arial"/>
          <w:b/>
          <w:color w:val="auto"/>
          <w:sz w:val="22"/>
          <w:szCs w:val="22"/>
        </w:rPr>
        <w:t>26.14</w:t>
      </w:r>
      <w:r>
        <w:rPr>
          <w:rFonts w:eastAsia="Arial" w:cs="Arial" w:ascii="Arial" w:hAnsi="Arial"/>
          <w:color w:val="auto"/>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pPr>
        <w:pStyle w:val="Normal"/>
        <w:spacing w:lineRule="auto" w:line="360"/>
        <w:jc w:val="both"/>
        <w:rPr>
          <w:color w:val="auto"/>
        </w:rPr>
      </w:pPr>
      <w:r>
        <w:rPr>
          <w:rFonts w:eastAsia="Arial" w:cs="Arial" w:ascii="Arial" w:hAnsi="Arial"/>
          <w:b/>
          <w:color w:val="auto"/>
          <w:sz w:val="22"/>
          <w:szCs w:val="22"/>
        </w:rPr>
        <w:t>26.15</w:t>
      </w:r>
      <w:r>
        <w:rPr>
          <w:rFonts w:eastAsia="Arial" w:cs="Arial" w:ascii="Arial" w:hAnsi="Arial"/>
          <w:color w:val="auto"/>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pPr>
        <w:pStyle w:val="Normal"/>
        <w:spacing w:lineRule="auto" w:line="360"/>
        <w:jc w:val="both"/>
        <w:rPr>
          <w:color w:val="auto"/>
        </w:rPr>
      </w:pPr>
      <w:r>
        <w:rPr>
          <w:rFonts w:eastAsia="Arial" w:cs="Arial" w:ascii="Arial" w:hAnsi="Arial"/>
          <w:b/>
          <w:color w:val="auto"/>
          <w:sz w:val="22"/>
          <w:szCs w:val="22"/>
        </w:rPr>
        <w:t>26.16</w:t>
      </w:r>
      <w:r>
        <w:rPr>
          <w:rFonts w:eastAsia="Arial" w:cs="Arial" w:ascii="Arial" w:hAnsi="Arial"/>
          <w:color w:val="auto"/>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spacing w:lineRule="auto" w:line="360"/>
        <w:jc w:val="both"/>
        <w:rPr>
          <w:color w:val="auto"/>
        </w:rPr>
      </w:pPr>
      <w:r>
        <w:rPr>
          <w:rFonts w:eastAsia="Arial" w:cs="Arial" w:ascii="Arial" w:hAnsi="Arial"/>
          <w:b/>
          <w:color w:val="auto"/>
          <w:sz w:val="22"/>
          <w:szCs w:val="22"/>
        </w:rPr>
        <w:t xml:space="preserve">26.17 – </w:t>
      </w:r>
      <w:r>
        <w:rPr>
          <w:rFonts w:eastAsia="Arial" w:cs="Arial" w:ascii="Arial" w:hAnsi="Arial"/>
          <w:color w:val="auto"/>
          <w:sz w:val="22"/>
          <w:szCs w:val="22"/>
        </w:rPr>
        <w:t>O Instrumento Convocatório é parte integrante do Contrato / Ata de Registro de Preço.</w:t>
      </w:r>
    </w:p>
    <w:p>
      <w:pPr>
        <w:pStyle w:val="Normal"/>
        <w:spacing w:lineRule="auto" w:line="360"/>
        <w:jc w:val="both"/>
        <w:rPr>
          <w:color w:val="auto"/>
        </w:rPr>
      </w:pPr>
      <w:r>
        <w:rPr>
          <w:rFonts w:eastAsia="Arial" w:cs="Arial" w:ascii="Arial" w:hAnsi="Arial"/>
          <w:b/>
          <w:color w:val="auto"/>
          <w:sz w:val="22"/>
          <w:szCs w:val="22"/>
        </w:rPr>
        <w:t xml:space="preserve">26.18 – </w:t>
      </w:r>
      <w:r>
        <w:rPr>
          <w:rFonts w:eastAsia="Arial" w:cs="Arial" w:ascii="Arial" w:hAnsi="Arial"/>
          <w:color w:val="auto"/>
          <w:sz w:val="22"/>
          <w:szCs w:val="22"/>
        </w:rPr>
        <w:t>Integram o Presente Edital:</w:t>
      </w:r>
    </w:p>
    <w:p>
      <w:pPr>
        <w:pStyle w:val="Normal"/>
        <w:spacing w:lineRule="auto" w:line="360"/>
        <w:jc w:val="both"/>
        <w:rPr/>
      </w:pPr>
      <w:r>
        <w:rPr>
          <w:rFonts w:eastAsia="Arial" w:cs="Arial" w:ascii="Arial" w:hAnsi="Arial"/>
          <w:b/>
          <w:color w:val="auto"/>
          <w:sz w:val="22"/>
          <w:szCs w:val="22"/>
        </w:rPr>
        <w:t>a)</w:t>
      </w:r>
      <w:r>
        <w:rPr>
          <w:rFonts w:eastAsia="Arial" w:cs="Arial" w:ascii="Arial" w:hAnsi="Arial"/>
          <w:color w:val="auto"/>
          <w:sz w:val="22"/>
          <w:szCs w:val="22"/>
        </w:rPr>
        <w:t xml:space="preserve"> </w:t>
      </w:r>
      <w:hyperlink w:anchor="_heading=h.4d34og8">
        <w:r>
          <w:rPr>
            <w:rFonts w:eastAsia="Arial" w:cs="Arial" w:ascii="Arial" w:hAnsi="Arial"/>
            <w:b/>
            <w:color w:val="auto"/>
            <w:sz w:val="22"/>
            <w:szCs w:val="22"/>
            <w:u w:val="single"/>
          </w:rPr>
          <w:t>Anexo I</w:t>
        </w:r>
      </w:hyperlink>
      <w:r>
        <w:rPr>
          <w:rFonts w:eastAsia="Arial" w:cs="Arial" w:ascii="Arial" w:hAnsi="Arial"/>
          <w:color w:val="auto"/>
          <w:sz w:val="22"/>
          <w:szCs w:val="22"/>
        </w:rPr>
        <w:t xml:space="preserve"> – Termo de Referência;</w:t>
      </w:r>
    </w:p>
    <w:p>
      <w:pPr>
        <w:pStyle w:val="Normal"/>
        <w:spacing w:lineRule="auto" w:line="360"/>
        <w:jc w:val="both"/>
        <w:rPr/>
      </w:pPr>
      <w:r>
        <w:rPr>
          <w:rFonts w:eastAsia="Arial" w:cs="Arial" w:ascii="Arial" w:hAnsi="Arial"/>
          <w:b/>
          <w:color w:val="auto"/>
          <w:sz w:val="22"/>
          <w:szCs w:val="22"/>
        </w:rPr>
        <w:t xml:space="preserve">b) </w:t>
      </w:r>
      <w:hyperlink w:anchor="_heading=h.2s8eyo1">
        <w:r>
          <w:rPr>
            <w:rFonts w:eastAsia="Arial" w:cs="Arial" w:ascii="Arial" w:hAnsi="Arial"/>
            <w:b/>
            <w:color w:val="auto"/>
            <w:sz w:val="22"/>
            <w:szCs w:val="22"/>
            <w:u w:val="single"/>
          </w:rPr>
          <w:t>Anexo II</w:t>
        </w:r>
      </w:hyperlink>
      <w:r>
        <w:rPr>
          <w:rFonts w:eastAsia="Arial" w:cs="Arial" w:ascii="Arial" w:hAnsi="Arial"/>
          <w:color w:val="auto"/>
          <w:sz w:val="22"/>
          <w:szCs w:val="22"/>
        </w:rPr>
        <w:t xml:space="preserve"> - Minuta da ARP;</w:t>
      </w:r>
    </w:p>
    <w:p>
      <w:pPr>
        <w:pStyle w:val="Normal"/>
        <w:spacing w:lineRule="auto" w:line="360"/>
        <w:jc w:val="both"/>
        <w:rPr/>
      </w:pPr>
      <w:r>
        <w:rPr>
          <w:rFonts w:eastAsia="Arial" w:cs="Arial" w:ascii="Arial" w:hAnsi="Arial"/>
          <w:b/>
          <w:color w:val="auto"/>
          <w:sz w:val="22"/>
          <w:szCs w:val="22"/>
        </w:rPr>
        <w:t xml:space="preserve">c) </w:t>
      </w:r>
      <w:hyperlink w:anchor="_heading=h.3rdcrjn">
        <w:r>
          <w:rPr>
            <w:rFonts w:eastAsia="Arial" w:cs="Arial" w:ascii="Arial" w:hAnsi="Arial"/>
            <w:b/>
            <w:color w:val="auto"/>
            <w:sz w:val="22"/>
            <w:szCs w:val="22"/>
            <w:u w:val="single"/>
          </w:rPr>
          <w:t>Anexo III</w:t>
        </w:r>
      </w:hyperlink>
      <w:r>
        <w:rPr>
          <w:rFonts w:eastAsia="Arial" w:cs="Arial" w:ascii="Arial" w:hAnsi="Arial"/>
          <w:color w:val="auto"/>
          <w:sz w:val="22"/>
          <w:szCs w:val="22"/>
        </w:rPr>
        <w:t xml:space="preserve"> – Minuta do Contrato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right"/>
        <w:rPr>
          <w:color w:val="auto"/>
        </w:rPr>
      </w:pPr>
      <w:r>
        <w:rPr>
          <w:rFonts w:eastAsia="Century Gothic" w:cs="Arial" w:ascii="Arial" w:hAnsi="Arial"/>
          <w:color w:val="auto"/>
          <w:sz w:val="22"/>
          <w:szCs w:val="22"/>
        </w:rPr>
        <w:t>Araçuaí – MG, 07 de maio de 2024.</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color w:val="auto"/>
          <w:sz w:val="22"/>
          <w:szCs w:val="22"/>
        </w:rPr>
        <w:t>DE ACORDO:</w:t>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center"/>
        <w:rPr>
          <w:color w:val="auto"/>
        </w:rPr>
      </w:pPr>
      <w:r>
        <w:rPr>
          <w:rFonts w:eastAsia="Arial" w:cs="Arial" w:ascii="Century Gothic" w:hAnsi="Century Gothic"/>
          <w:b/>
          <w:i/>
          <w:color w:val="auto"/>
          <w:sz w:val="22"/>
          <w:szCs w:val="22"/>
        </w:rPr>
        <w:t>Tacony Ramos Costa</w:t>
      </w:r>
    </w:p>
    <w:p>
      <w:pPr>
        <w:pStyle w:val="Normal"/>
        <w:spacing w:lineRule="auto" w:line="360"/>
        <w:jc w:val="center"/>
        <w:rPr>
          <w:color w:val="auto"/>
        </w:rPr>
      </w:pPr>
      <w:r>
        <w:rPr>
          <w:rFonts w:eastAsia="Arial" w:cs="Arial" w:ascii="Century Gothic" w:hAnsi="Century Gothic"/>
          <w:b/>
          <w:color w:val="auto"/>
          <w:sz w:val="22"/>
          <w:szCs w:val="22"/>
        </w:rPr>
        <w:t>PREGOEIRO</w:t>
      </w:r>
    </w:p>
    <w:p>
      <w:pPr>
        <w:pStyle w:val="Normal"/>
        <w:spacing w:lineRule="auto" w:line="360"/>
        <w:jc w:val="both"/>
        <w:rPr>
          <w:rFonts w:ascii="Arial" w:hAnsi="Arial" w:eastAsia="Arial" w:cs="Arial"/>
          <w:b/>
          <w:b/>
          <w:color w:val="auto"/>
          <w:sz w:val="22"/>
          <w:szCs w:val="22"/>
          <w:highlight w:val="yellow"/>
        </w:rPr>
      </w:pPr>
      <w:r>
        <w:rPr>
          <w:rFonts w:eastAsia="Arial" w:cs="Arial" w:ascii="Arial" w:hAnsi="Arial"/>
          <w:b/>
          <w:color w:val="auto"/>
          <w:sz w:val="22"/>
          <w:szCs w:val="22"/>
          <w:highlight w:val="yellow"/>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Ttulo1"/>
        <w:spacing w:lineRule="auto" w:line="360" w:before="0" w:after="0"/>
        <w:jc w:val="center"/>
        <w:rPr>
          <w:color w:val="auto"/>
        </w:rPr>
      </w:pPr>
      <w:r>
        <w:rPr>
          <w:color w:val="auto"/>
        </w:rPr>
      </w:r>
      <w:r>
        <w:br w:type="page"/>
      </w:r>
    </w:p>
    <w:p>
      <w:pPr>
        <w:pStyle w:val="Ttulo1"/>
        <w:spacing w:lineRule="auto" w:line="360" w:before="0" w:after="0"/>
        <w:jc w:val="center"/>
        <w:rPr>
          <w:color w:val="auto"/>
        </w:rPr>
      </w:pPr>
      <w:r>
        <w:rPr>
          <w:color w:val="auto"/>
        </w:rPr>
      </w:r>
    </w:p>
    <w:p>
      <w:pPr>
        <w:pStyle w:val="Ttulo1"/>
        <w:spacing w:lineRule="auto" w:line="360" w:before="0" w:after="0"/>
        <w:jc w:val="center"/>
        <w:rPr>
          <w:color w:val="auto"/>
        </w:rPr>
      </w:pPr>
      <w:bookmarkStart w:id="9" w:name="_heading=h.4d34og8"/>
      <w:bookmarkEnd w:id="9"/>
      <w:r>
        <w:rPr>
          <w:rFonts w:cs="Arial"/>
          <w:color w:val="auto"/>
          <w:sz w:val="22"/>
          <w:szCs w:val="22"/>
        </w:rPr>
        <w:t>ANEXO I</w:t>
      </w:r>
    </w:p>
    <w:p>
      <w:pPr>
        <w:pStyle w:val="Ttulo1"/>
        <w:spacing w:lineRule="auto" w:line="360" w:before="0" w:after="0"/>
        <w:jc w:val="center"/>
        <w:rPr>
          <w:color w:val="auto"/>
        </w:rPr>
      </w:pPr>
      <w:r>
        <w:rPr>
          <w:rFonts w:cs="Arial"/>
          <w:color w:val="auto"/>
          <w:sz w:val="22"/>
          <w:szCs w:val="22"/>
        </w:rPr>
        <w:t>TERMO DE REFERÊNCIA</w:t>
      </w:r>
    </w:p>
    <w:p>
      <w:pPr>
        <w:pStyle w:val="Normal"/>
        <w:spacing w:lineRule="auto" w:line="360"/>
        <w:rPr>
          <w:rFonts w:ascii="Arial" w:hAnsi="Arial" w:cs="Arial"/>
          <w:color w:val="auto"/>
          <w:sz w:val="22"/>
          <w:szCs w:val="22"/>
        </w:rPr>
      </w:pPr>
      <w:r>
        <w:rPr>
          <w:rFonts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u w:val="single"/>
        </w:rPr>
        <w:t>PROCESSO LICITATÓRIO N.º 021/2024</w:t>
      </w:r>
    </w:p>
    <w:p>
      <w:pPr>
        <w:pStyle w:val="Normal"/>
        <w:spacing w:lineRule="auto" w:line="360"/>
        <w:jc w:val="both"/>
        <w:rPr>
          <w:color w:val="auto"/>
        </w:rPr>
      </w:pPr>
      <w:r>
        <w:rPr>
          <w:rFonts w:eastAsia="Arial" w:cs="Arial" w:ascii="Arial" w:hAnsi="Arial"/>
          <w:b/>
          <w:color w:val="auto"/>
          <w:sz w:val="22"/>
          <w:szCs w:val="22"/>
          <w:u w:val="single"/>
        </w:rPr>
        <w:t>MODALIDADE PREGÃO ELETRÔNICO N°009/2024</w:t>
      </w:r>
    </w:p>
    <w:p>
      <w:pPr>
        <w:pStyle w:val="Normal"/>
        <w:spacing w:lineRule="auto" w:line="360"/>
        <w:jc w:val="both"/>
        <w:rPr>
          <w:color w:val="auto"/>
        </w:rPr>
      </w:pPr>
      <w:r>
        <w:rPr>
          <w:rFonts w:eastAsia="Arial" w:cs="Arial" w:ascii="Arial" w:hAnsi="Arial"/>
          <w:b/>
          <w:color w:val="auto"/>
          <w:sz w:val="22"/>
          <w:szCs w:val="22"/>
          <w:u w:val="single"/>
        </w:rPr>
        <w:t>TIPO: MENOR PREÇO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bCs/>
          <w:color w:val="auto"/>
          <w:sz w:val="22"/>
          <w:szCs w:val="22"/>
        </w:rPr>
        <w:t>1.            DO OBJETO</w:t>
      </w:r>
    </w:p>
    <w:p>
      <w:pPr>
        <w:pStyle w:val="Normal"/>
        <w:spacing w:lineRule="auto" w:line="360"/>
        <w:jc w:val="both"/>
        <w:rPr>
          <w:color w:val="auto"/>
        </w:rPr>
      </w:pPr>
      <w:r>
        <w:rPr>
          <w:rFonts w:eastAsia="Arial" w:cs="Arial" w:ascii="Arial" w:hAnsi="Arial"/>
          <w:color w:val="auto"/>
          <w:sz w:val="22"/>
          <w:szCs w:val="22"/>
        </w:rPr>
        <w:t>1.1. Registro de preços para futura e eventual aquisição de oxigênio medicinal e cilindros, com regime de comodato de cilindros, para atender as demandas da Secretaria de Saúde do Município de Araçuaí - mg.</w:t>
      </w:r>
    </w:p>
    <w:tbl>
      <w:tblPr>
        <w:tblStyle w:val="Tabelacomgrade"/>
        <w:tblpPr w:bottomFromText="0" w:horzAnchor="page" w:leftFromText="180" w:rightFromText="180" w:tblpX="1057" w:tblpY="271" w:topFromText="0" w:vertAnchor="text"/>
        <w:tblW w:w="101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24"/>
        <w:gridCol w:w="5149"/>
        <w:gridCol w:w="695"/>
        <w:gridCol w:w="977"/>
        <w:gridCol w:w="1186"/>
        <w:gridCol w:w="1456"/>
      </w:tblGrid>
      <w:tr>
        <w:trPr/>
        <w:tc>
          <w:tcPr>
            <w:tcW w:w="724" w:type="dxa"/>
            <w:tcBorders/>
            <w:shd w:color="auto" w:fill="D8D8D8" w:themeFill="background1" w:themeFillShade="d8" w:val="clear"/>
          </w:tcPr>
          <w:p>
            <w:pPr>
              <w:pStyle w:val="Normal"/>
              <w:widowControl w:val="false"/>
              <w:suppressAutoHyphens w:val="true"/>
              <w:spacing w:lineRule="auto" w:line="360" w:before="0" w:after="0"/>
              <w:jc w:val="both"/>
              <w:rPr>
                <w:rFonts w:ascii="Times New Roman" w:hAnsi="Times New Roman" w:eastAsia="Times New Roman" w:cs="Times New Roman"/>
                <w:b/>
                <w:b/>
                <w:bCs/>
                <w:color w:val="auto"/>
                <w:kern w:val="0"/>
                <w:lang w:val="en-US" w:eastAsia="pt-BR" w:bidi="ar-SA"/>
              </w:rPr>
            </w:pPr>
            <w:r>
              <w:rPr>
                <w:rFonts w:eastAsia="Times New Roman" w:cs="Times New Roman"/>
                <w:b/>
                <w:bCs/>
                <w:color w:val="auto"/>
                <w:kern w:val="0"/>
                <w:lang w:val="en-US" w:eastAsia="pt-BR" w:bidi="ar-SA"/>
              </w:rPr>
              <w:t>Item</w:t>
            </w:r>
          </w:p>
        </w:tc>
        <w:tc>
          <w:tcPr>
            <w:tcW w:w="5149" w:type="dxa"/>
            <w:tcBorders/>
            <w:shd w:color="auto" w:fill="D8D8D8" w:themeFill="background1" w:themeFillShade="d8" w:val="clear"/>
          </w:tcPr>
          <w:p>
            <w:pPr>
              <w:pStyle w:val="Normal"/>
              <w:widowControl w:val="false"/>
              <w:suppressAutoHyphens w:val="true"/>
              <w:spacing w:lineRule="auto" w:line="360" w:before="0" w:after="0"/>
              <w:jc w:val="both"/>
              <w:rPr>
                <w:rFonts w:ascii="Times New Roman" w:hAnsi="Times New Roman" w:eastAsia="Times New Roman" w:cs="Times New Roman"/>
                <w:b/>
                <w:b/>
                <w:bCs/>
                <w:color w:val="auto"/>
                <w:kern w:val="0"/>
                <w:lang w:val="en-US" w:eastAsia="pt-BR" w:bidi="ar-SA"/>
              </w:rPr>
            </w:pPr>
            <w:r>
              <w:rPr>
                <w:rFonts w:eastAsia="Times New Roman" w:cs="Times New Roman"/>
                <w:b/>
                <w:bCs/>
                <w:color w:val="auto"/>
                <w:kern w:val="0"/>
                <w:lang w:val="en-US" w:eastAsia="pt-BR" w:bidi="ar-SA"/>
              </w:rPr>
              <w:t>Descrição</w:t>
            </w:r>
          </w:p>
        </w:tc>
        <w:tc>
          <w:tcPr>
            <w:tcW w:w="695" w:type="dxa"/>
            <w:tcBorders/>
            <w:shd w:color="auto" w:fill="D8D8D8" w:themeFill="background1" w:themeFillShade="d8" w:val="clear"/>
          </w:tcPr>
          <w:p>
            <w:pPr>
              <w:pStyle w:val="Normal"/>
              <w:widowControl w:val="false"/>
              <w:suppressAutoHyphens w:val="true"/>
              <w:spacing w:lineRule="auto" w:line="360" w:before="0" w:after="0"/>
              <w:jc w:val="both"/>
              <w:rPr>
                <w:rFonts w:ascii="Times New Roman" w:hAnsi="Times New Roman" w:eastAsia="Times New Roman" w:cs="Times New Roman"/>
                <w:b/>
                <w:b/>
                <w:bCs/>
                <w:color w:val="auto"/>
                <w:kern w:val="0"/>
                <w:lang w:val="en-US" w:eastAsia="pt-BR" w:bidi="ar-SA"/>
              </w:rPr>
            </w:pPr>
            <w:r>
              <w:rPr>
                <w:rFonts w:eastAsia="Times New Roman" w:cs="Times New Roman"/>
                <w:b/>
                <w:bCs/>
                <w:color w:val="auto"/>
                <w:kern w:val="0"/>
                <w:lang w:val="en-US" w:eastAsia="pt-BR" w:bidi="ar-SA"/>
              </w:rPr>
              <w:t>Und</w:t>
            </w:r>
          </w:p>
        </w:tc>
        <w:tc>
          <w:tcPr>
            <w:tcW w:w="977" w:type="dxa"/>
            <w:tcBorders/>
            <w:shd w:color="auto" w:fill="D8D8D8" w:themeFill="background1" w:themeFillShade="d8" w:val="clear"/>
          </w:tcPr>
          <w:p>
            <w:pPr>
              <w:pStyle w:val="Normal"/>
              <w:widowControl w:val="false"/>
              <w:suppressAutoHyphens w:val="true"/>
              <w:spacing w:lineRule="auto" w:line="360" w:before="0" w:after="0"/>
              <w:jc w:val="both"/>
              <w:rPr>
                <w:rFonts w:ascii="Times New Roman" w:hAnsi="Times New Roman" w:eastAsia="Times New Roman" w:cs="Times New Roman"/>
                <w:b/>
                <w:b/>
                <w:bCs/>
                <w:color w:val="auto"/>
                <w:kern w:val="0"/>
                <w:lang w:val="en-US" w:eastAsia="pt-BR" w:bidi="ar-SA"/>
              </w:rPr>
            </w:pPr>
            <w:r>
              <w:rPr>
                <w:rFonts w:eastAsia="Times New Roman" w:cs="Times New Roman"/>
                <w:b/>
                <w:bCs/>
                <w:color w:val="auto"/>
                <w:kern w:val="0"/>
                <w:lang w:val="en-US" w:eastAsia="pt-BR" w:bidi="ar-SA"/>
              </w:rPr>
              <w:t>Quant</w:t>
            </w:r>
          </w:p>
        </w:tc>
        <w:tc>
          <w:tcPr>
            <w:tcW w:w="1186" w:type="dxa"/>
            <w:tcBorders/>
            <w:shd w:color="auto" w:fill="D8D8D8" w:themeFill="background1" w:themeFillShade="d8" w:val="clear"/>
          </w:tcPr>
          <w:p>
            <w:pPr>
              <w:pStyle w:val="Normal"/>
              <w:widowControl w:val="false"/>
              <w:suppressAutoHyphens w:val="true"/>
              <w:spacing w:lineRule="auto" w:line="360" w:before="0" w:after="0"/>
              <w:jc w:val="both"/>
              <w:rPr>
                <w:rFonts w:ascii="Times New Roman" w:hAnsi="Times New Roman" w:eastAsia="Times New Roman" w:cs="Times New Roman"/>
                <w:b/>
                <w:b/>
                <w:bCs/>
                <w:color w:val="auto"/>
                <w:kern w:val="0"/>
                <w:lang w:val="en-US" w:eastAsia="pt-BR" w:bidi="ar-SA"/>
              </w:rPr>
            </w:pPr>
            <w:r>
              <w:rPr>
                <w:rFonts w:eastAsia="Times New Roman" w:cs="Times New Roman"/>
                <w:b/>
                <w:bCs/>
                <w:color w:val="auto"/>
                <w:kern w:val="0"/>
                <w:lang w:val="en-US" w:eastAsia="pt-BR" w:bidi="ar-SA"/>
              </w:rPr>
              <w:t>V.Unit</w:t>
            </w:r>
          </w:p>
        </w:tc>
        <w:tc>
          <w:tcPr>
            <w:tcW w:w="1456" w:type="dxa"/>
            <w:tcBorders/>
            <w:shd w:color="auto" w:fill="D8D8D8" w:themeFill="background1" w:themeFillShade="d8" w:val="clear"/>
          </w:tcPr>
          <w:p>
            <w:pPr>
              <w:pStyle w:val="Normal"/>
              <w:widowControl w:val="false"/>
              <w:suppressAutoHyphens w:val="true"/>
              <w:spacing w:lineRule="auto" w:line="360" w:before="0" w:after="0"/>
              <w:jc w:val="both"/>
              <w:rPr>
                <w:rFonts w:ascii="Times New Roman" w:hAnsi="Times New Roman" w:eastAsia="Times New Roman" w:cs="Times New Roman"/>
                <w:b/>
                <w:b/>
                <w:bCs/>
                <w:color w:val="auto"/>
                <w:kern w:val="0"/>
                <w:lang w:val="en-US" w:eastAsia="pt-BR" w:bidi="ar-SA"/>
              </w:rPr>
            </w:pPr>
            <w:r>
              <w:rPr>
                <w:rFonts w:eastAsia="Times New Roman" w:cs="Times New Roman"/>
                <w:b/>
                <w:bCs/>
                <w:color w:val="auto"/>
                <w:kern w:val="0"/>
                <w:lang w:val="en-US" w:eastAsia="pt-BR" w:bidi="ar-SA"/>
              </w:rPr>
              <w:t>V. Total</w:t>
            </w:r>
          </w:p>
        </w:tc>
      </w:tr>
      <w:tr>
        <w:trPr>
          <w:trHeight w:val="930" w:hRule="atLeast"/>
        </w:trPr>
        <w:tc>
          <w:tcPr>
            <w:tcW w:w="724"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1</w:t>
            </w:r>
          </w:p>
        </w:tc>
        <w:tc>
          <w:tcPr>
            <w:tcW w:w="5149"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Gás comprimido: Oxigênio gasoso medicinal (cilindro de 01m³), com  regime de comodato de cilindros.</w:t>
            </w:r>
          </w:p>
        </w:tc>
        <w:tc>
          <w:tcPr>
            <w:tcW w:w="695" w:type="dxa"/>
            <w:tcBorders/>
            <w:vAlign w:val="center"/>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M³</w:t>
            </w:r>
          </w:p>
        </w:tc>
        <w:tc>
          <w:tcPr>
            <w:tcW w:w="977"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500</w:t>
            </w:r>
          </w:p>
        </w:tc>
        <w:tc>
          <w:tcPr>
            <w:tcW w:w="118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R$</w:t>
            </w:r>
          </w:p>
        </w:tc>
        <w:tc>
          <w:tcPr>
            <w:tcW w:w="145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r>
      <w:tr>
        <w:trPr/>
        <w:tc>
          <w:tcPr>
            <w:tcW w:w="724"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2</w:t>
            </w:r>
          </w:p>
        </w:tc>
        <w:tc>
          <w:tcPr>
            <w:tcW w:w="5149"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Gás comprimido: Oxigênio gasoso medicinal (cilindro de 02m³), com  regime de comodato de cilindros.</w:t>
            </w:r>
          </w:p>
        </w:tc>
        <w:tc>
          <w:tcPr>
            <w:tcW w:w="695" w:type="dxa"/>
            <w:tcBorders/>
            <w:vAlign w:val="center"/>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M³</w:t>
            </w:r>
          </w:p>
        </w:tc>
        <w:tc>
          <w:tcPr>
            <w:tcW w:w="977"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2000</w:t>
            </w:r>
          </w:p>
        </w:tc>
        <w:tc>
          <w:tcPr>
            <w:tcW w:w="118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c>
          <w:tcPr>
            <w:tcW w:w="145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r>
      <w:tr>
        <w:trPr/>
        <w:tc>
          <w:tcPr>
            <w:tcW w:w="724"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3</w:t>
            </w:r>
          </w:p>
        </w:tc>
        <w:tc>
          <w:tcPr>
            <w:tcW w:w="5149"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Gás comprimido: Oxigênio gasoso medicinal (cilindro de 03m³), com regime de  comodato de cilindros.</w:t>
            </w:r>
          </w:p>
        </w:tc>
        <w:tc>
          <w:tcPr>
            <w:tcW w:w="695" w:type="dxa"/>
            <w:tcBorders/>
            <w:vAlign w:val="center"/>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M³</w:t>
            </w:r>
          </w:p>
        </w:tc>
        <w:tc>
          <w:tcPr>
            <w:tcW w:w="977"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850</w:t>
            </w:r>
          </w:p>
        </w:tc>
        <w:tc>
          <w:tcPr>
            <w:tcW w:w="118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c>
          <w:tcPr>
            <w:tcW w:w="145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r>
      <w:tr>
        <w:trPr/>
        <w:tc>
          <w:tcPr>
            <w:tcW w:w="724"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4</w:t>
            </w:r>
          </w:p>
        </w:tc>
        <w:tc>
          <w:tcPr>
            <w:tcW w:w="5149"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Gás comprimido: Oxigênio gasoso medicinal (cilindro de 10m³), com regime de comodato de cilindros.</w:t>
            </w:r>
          </w:p>
        </w:tc>
        <w:tc>
          <w:tcPr>
            <w:tcW w:w="695" w:type="dxa"/>
            <w:tcBorders/>
            <w:vAlign w:val="center"/>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M³</w:t>
            </w:r>
          </w:p>
        </w:tc>
        <w:tc>
          <w:tcPr>
            <w:tcW w:w="977"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4000</w:t>
            </w:r>
          </w:p>
        </w:tc>
        <w:tc>
          <w:tcPr>
            <w:tcW w:w="118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c>
          <w:tcPr>
            <w:tcW w:w="145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R$</w:t>
            </w:r>
          </w:p>
        </w:tc>
      </w:tr>
      <w:tr>
        <w:trPr/>
        <w:tc>
          <w:tcPr>
            <w:tcW w:w="724"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5</w:t>
            </w:r>
          </w:p>
        </w:tc>
        <w:tc>
          <w:tcPr>
            <w:tcW w:w="5149"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Gás comprimido: Oxido nitroso medicinal liquefeito (cilindro de 10 m³), com regime de  comodato de  cilindros capacidade de 10 litros, cilindro de 7 kg.</w:t>
            </w:r>
          </w:p>
        </w:tc>
        <w:tc>
          <w:tcPr>
            <w:tcW w:w="695" w:type="dxa"/>
            <w:tcBorders/>
            <w:vAlign w:val="center"/>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KG</w:t>
            </w:r>
          </w:p>
        </w:tc>
        <w:tc>
          <w:tcPr>
            <w:tcW w:w="977"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84</w:t>
            </w:r>
          </w:p>
        </w:tc>
        <w:tc>
          <w:tcPr>
            <w:tcW w:w="118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c>
          <w:tcPr>
            <w:tcW w:w="145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r>
      <w:tr>
        <w:trPr/>
        <w:tc>
          <w:tcPr>
            <w:tcW w:w="724"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6</w:t>
            </w:r>
          </w:p>
        </w:tc>
        <w:tc>
          <w:tcPr>
            <w:tcW w:w="5149"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Cilindro de gás: Material aço; capacidade de armazenamento: 7kg – 10 litros, dimensões: 70 cm a x 16,5 cm L, rosca de entrada: 3/4 - 14 ngt</w:t>
            </w:r>
          </w:p>
        </w:tc>
        <w:tc>
          <w:tcPr>
            <w:tcW w:w="695" w:type="dxa"/>
            <w:tcBorders/>
            <w:vAlign w:val="center"/>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pt-BR" w:eastAsia="pt-BR" w:bidi="ar-SA"/>
              </w:rPr>
            </w:pPr>
            <w:r>
              <w:rPr>
                <w:rFonts w:eastAsia="Times New Roman" w:cs="Times New Roman"/>
                <w:color w:val="auto"/>
                <w:kern w:val="0"/>
                <w:lang w:val="pt-BR" w:eastAsia="pt-BR" w:bidi="ar-SA"/>
              </w:rPr>
              <w:t>UND</w:t>
            </w:r>
          </w:p>
        </w:tc>
        <w:tc>
          <w:tcPr>
            <w:tcW w:w="977"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4</w:t>
            </w:r>
          </w:p>
        </w:tc>
        <w:tc>
          <w:tcPr>
            <w:tcW w:w="118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R$</w:t>
            </w:r>
          </w:p>
        </w:tc>
        <w:tc>
          <w:tcPr>
            <w:tcW w:w="1456" w:type="dxa"/>
            <w:tcBorders/>
          </w:tcPr>
          <w:p>
            <w:pPr>
              <w:pStyle w:val="Normal"/>
              <w:widowControl w:val="false"/>
              <w:suppressAutoHyphens w:val="true"/>
              <w:spacing w:lineRule="auto" w:line="360" w:before="0" w:after="0"/>
              <w:jc w:val="both"/>
              <w:rPr>
                <w:rFonts w:ascii="Times New Roman" w:hAnsi="Times New Roman" w:eastAsia="Times New Roman" w:cs="Times New Roman"/>
                <w:color w:val="auto"/>
                <w:kern w:val="0"/>
                <w:lang w:val="en-US" w:eastAsia="pt-BR" w:bidi="ar-SA"/>
              </w:rPr>
            </w:pPr>
            <w:r>
              <w:rPr>
                <w:rFonts w:eastAsia="Times New Roman" w:cs="Times New Roman"/>
                <w:color w:val="auto"/>
                <w:kern w:val="0"/>
                <w:lang w:val="en-US" w:eastAsia="pt-BR" w:bidi="ar-SA"/>
              </w:rPr>
              <w:t xml:space="preserve">R$ </w:t>
            </w:r>
          </w:p>
        </w:tc>
      </w:tr>
    </w:tbl>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color w:val="auto"/>
        </w:rPr>
      </w:r>
    </w:p>
    <w:p>
      <w:pPr>
        <w:pStyle w:val="Normal"/>
        <w:spacing w:lineRule="auto" w:line="360"/>
        <w:jc w:val="both"/>
        <w:rPr>
          <w:color w:val="auto"/>
        </w:rPr>
      </w:pPr>
      <w:r>
        <w:rPr>
          <w:rFonts w:eastAsia="Arial" w:cs="Arial" w:ascii="Arial" w:hAnsi="Arial"/>
          <w:b/>
          <w:bCs/>
          <w:color w:val="auto"/>
          <w:sz w:val="22"/>
          <w:szCs w:val="22"/>
        </w:rPr>
        <w:t xml:space="preserve"> </w:t>
      </w:r>
    </w:p>
    <w:p>
      <w:pPr>
        <w:pStyle w:val="Normal"/>
        <w:spacing w:lineRule="auto" w:line="360"/>
        <w:jc w:val="both"/>
        <w:rPr>
          <w:color w:val="auto"/>
        </w:rPr>
      </w:pPr>
      <w:r>
        <w:rPr>
          <w:rFonts w:eastAsia="Arial" w:cs="Arial" w:ascii="Arial" w:hAnsi="Arial"/>
          <w:b/>
          <w:bCs/>
          <w:color w:val="auto"/>
          <w:sz w:val="22"/>
          <w:szCs w:val="22"/>
        </w:rPr>
        <w:t>2. DA NATUREZA DO OBJETO</w:t>
      </w:r>
    </w:p>
    <w:p>
      <w:pPr>
        <w:pStyle w:val="Normal"/>
        <w:spacing w:lineRule="auto" w:line="360"/>
        <w:jc w:val="both"/>
        <w:rPr>
          <w:color w:val="auto"/>
        </w:rPr>
      </w:pPr>
      <w:r>
        <w:rPr>
          <w:rFonts w:eastAsia="Arial" w:cs="Arial" w:ascii="Arial" w:hAnsi="Arial"/>
          <w:color w:val="auto"/>
          <w:sz w:val="22"/>
          <w:szCs w:val="22"/>
        </w:rPr>
        <w:t>2.1. Objeto de mesma natureza é entendido como aquele do mesmo ramo de atividade e considera-se ramo de atividade a linha de fornecimento consignada ao fornecedor, observada a classe de materiais e serviços utilizando o detalhamento de cada elemento de despesa da PORTARIA Nº 448, DE 13 DE SETEMBRO DE 2002 e linha de fornecimento contida em sistema de gestão mantido no município.</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b/>
          <w:bCs/>
          <w:color w:val="auto"/>
          <w:sz w:val="22"/>
          <w:szCs w:val="22"/>
        </w:rPr>
        <w:t>3.DO PRAZO DA ATA DE REGISTRO DE PREÇOS E POSSIBILIDADE DE PRORROGAÇÃO.</w:t>
      </w:r>
    </w:p>
    <w:p>
      <w:pPr>
        <w:pStyle w:val="Normal"/>
        <w:spacing w:lineRule="auto" w:line="360"/>
        <w:jc w:val="both"/>
        <w:rPr>
          <w:color w:val="auto"/>
        </w:rPr>
      </w:pPr>
      <w:r>
        <w:rPr>
          <w:rFonts w:eastAsia="Arial" w:cs="Arial" w:ascii="Arial" w:hAnsi="Arial"/>
          <w:color w:val="auto"/>
          <w:sz w:val="22"/>
          <w:szCs w:val="22"/>
        </w:rPr>
        <w:t>3.1. O prazo de vigência da Ata de Registro de Preços será de 1 (um) ano, podendo ser prorrogado por igual período, conforme Lei Federal N° 14.133/2021, em seu Art. 84.</w:t>
      </w:r>
    </w:p>
    <w:p>
      <w:pPr>
        <w:pStyle w:val="Normal"/>
        <w:spacing w:lineRule="auto" w:line="360"/>
        <w:jc w:val="both"/>
        <w:rPr>
          <w:rFonts w:ascii="Arial" w:hAnsi="Arial" w:eastAsia="Arial" w:cs="Arial"/>
          <w:b/>
          <w:b/>
          <w:bCs/>
          <w:color w:val="auto"/>
          <w:sz w:val="22"/>
          <w:szCs w:val="22"/>
        </w:rPr>
      </w:pPr>
      <w:r>
        <w:rPr>
          <w:rFonts w:eastAsia="Arial" w:cs="Arial" w:ascii="Arial" w:hAnsi="Arial"/>
          <w:b/>
          <w:bCs/>
          <w:color w:val="auto"/>
          <w:sz w:val="22"/>
          <w:szCs w:val="22"/>
        </w:rPr>
      </w:r>
    </w:p>
    <w:p>
      <w:pPr>
        <w:pStyle w:val="Normal"/>
        <w:spacing w:lineRule="auto" w:line="360"/>
        <w:jc w:val="both"/>
        <w:rPr>
          <w:color w:val="auto"/>
        </w:rPr>
      </w:pPr>
      <w:r>
        <w:rPr>
          <w:rFonts w:eastAsia="Arial" w:cs="Arial" w:ascii="Arial" w:hAnsi="Arial"/>
          <w:b/>
          <w:bCs/>
          <w:color w:val="auto"/>
          <w:sz w:val="22"/>
          <w:szCs w:val="22"/>
        </w:rPr>
        <w:t>4. FUNDAMENTAÇÃO DA CONTRATAÇÃO</w:t>
      </w:r>
    </w:p>
    <w:p>
      <w:pPr>
        <w:pStyle w:val="Normal"/>
        <w:spacing w:lineRule="auto" w:line="360"/>
        <w:jc w:val="both"/>
        <w:rPr>
          <w:color w:val="auto"/>
        </w:rPr>
      </w:pPr>
      <w:r>
        <w:rPr>
          <w:rFonts w:eastAsia="Arial" w:cs="Arial" w:ascii="Arial" w:hAnsi="Arial"/>
          <w:color w:val="auto"/>
          <w:sz w:val="22"/>
          <w:szCs w:val="22"/>
        </w:rPr>
        <w:t>4.1. A fundamentação da contratação consiste na necessidade de fornecer Oxigênio Medicinal de qualidade para as unidades de saúde do município e para o Centro de Especialidades Odontológicas - (CEO) e o Óxido nitroso de qualidade especificadamente para o CEO, a fim de assegurar o atendimento adequado à população, garantir um atendimento humanizado e eficaz as pessoas com necessidades especiais, especialmente em situações de emergência e em tratamentos médicos.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bCs/>
          <w:color w:val="auto"/>
          <w:sz w:val="22"/>
          <w:szCs w:val="22"/>
        </w:rPr>
        <w:t>5. DESCRIÇÃO DA SOLUÇÃO COMO UM TODO.</w:t>
      </w:r>
    </w:p>
    <w:p>
      <w:pPr>
        <w:pStyle w:val="Normal"/>
        <w:spacing w:lineRule="auto" w:line="360"/>
        <w:jc w:val="both"/>
        <w:rPr>
          <w:color w:val="auto"/>
        </w:rPr>
      </w:pPr>
      <w:r>
        <w:rPr>
          <w:rFonts w:eastAsia="Arial" w:cs="Arial" w:ascii="Arial" w:hAnsi="Arial"/>
          <w:color w:val="auto"/>
          <w:sz w:val="22"/>
          <w:szCs w:val="22"/>
        </w:rPr>
        <w:t>5.1 Tecnicamente e economicamente a solução mais adequada para aquisição dos gases medicinais será em regime de comodato, onde a empresa deverá fornecer os cilindros abastecidos, sem ônus para o Município de Araçuaí, os cilindros utilizados para atender aos pedidos, no sistema de livre troca, em quantidade estabelecida a cada conforme quantitativo em metros cúbicos descritos na planilha acima.</w:t>
      </w:r>
    </w:p>
    <w:p>
      <w:pPr>
        <w:pStyle w:val="Normal"/>
        <w:spacing w:lineRule="auto" w:line="360"/>
        <w:jc w:val="both"/>
        <w:rPr>
          <w:color w:val="auto"/>
        </w:rPr>
      </w:pPr>
      <w:r>
        <w:rPr>
          <w:rFonts w:eastAsia="Arial" w:cs="Arial" w:ascii="Arial" w:hAnsi="Arial"/>
          <w:color w:val="auto"/>
          <w:sz w:val="22"/>
          <w:szCs w:val="22"/>
        </w:rPr>
        <w:t>5.2 A solução proposta envolve a contratação de serviços de fornecimento de recarga de oxigênio e óxido nitroso, com comodato de cilindros, além da prestação de serviços de instalação, montagem e manutenção técnica preventiva e corretiva. Essa abordagem garantirá a disponibilidade contínua de oxigênio medicinal para pacientes em diferentes ambientes de atendimento, atendimento na policlínica e domiciliar, e também no CEO que será simultaneamente atendido também com o óxido nitroso.</w:t>
      </w:r>
    </w:p>
    <w:p>
      <w:pPr>
        <w:pStyle w:val="Normal"/>
        <w:spacing w:lineRule="auto" w:line="360"/>
        <w:jc w:val="both"/>
        <w:rPr>
          <w:color w:val="auto"/>
        </w:rPr>
      </w:pPr>
      <w:r>
        <w:rPr>
          <w:rFonts w:eastAsia="Arial" w:cs="Arial" w:ascii="Arial" w:hAnsi="Arial"/>
          <w:color w:val="auto"/>
          <w:sz w:val="22"/>
          <w:szCs w:val="22"/>
        </w:rPr>
        <w:t>5.3 Optou-se por realizar a presente Aquisição/Contratação, através do Sistema de Registro de Preços - SRP, com base no disposto na Lei 14.133/2021, considerando o fato de que o referido Sistema possibilita um controle mais efetivo quanto à distribuição dos Itens a serem adquiridos, traduzindo-se no estímulo ao Consumo Sustentável/Consciente.</w:t>
      </w:r>
    </w:p>
    <w:p>
      <w:pPr>
        <w:pStyle w:val="Normal"/>
        <w:spacing w:lineRule="auto" w:line="360"/>
        <w:jc w:val="both"/>
        <w:rPr>
          <w:rFonts w:ascii="Arial" w:hAnsi="Arial" w:eastAsia="Arial" w:cs="Arial"/>
          <w:b/>
          <w:b/>
          <w:bCs/>
          <w:color w:val="auto"/>
          <w:sz w:val="22"/>
          <w:szCs w:val="22"/>
        </w:rPr>
      </w:pPr>
      <w:r>
        <w:rPr>
          <w:rFonts w:eastAsia="Arial" w:cs="Arial" w:ascii="Arial" w:hAnsi="Arial"/>
          <w:b/>
          <w:bCs/>
          <w:color w:val="auto"/>
          <w:sz w:val="22"/>
          <w:szCs w:val="22"/>
        </w:rPr>
      </w:r>
    </w:p>
    <w:p>
      <w:pPr>
        <w:pStyle w:val="Normal"/>
        <w:spacing w:lineRule="auto" w:line="360"/>
        <w:jc w:val="both"/>
        <w:rPr>
          <w:color w:val="auto"/>
        </w:rPr>
      </w:pPr>
      <w:r>
        <w:rPr>
          <w:rFonts w:eastAsia="Arial" w:cs="Arial" w:ascii="Arial" w:hAnsi="Arial"/>
          <w:b/>
          <w:bCs/>
          <w:color w:val="auto"/>
          <w:sz w:val="22"/>
          <w:szCs w:val="22"/>
        </w:rPr>
        <w:t>6. REQUISITOS DA CONTRATAÇÃO</w:t>
      </w:r>
    </w:p>
    <w:p>
      <w:pPr>
        <w:pStyle w:val="Normal"/>
        <w:spacing w:lineRule="auto" w:line="360"/>
        <w:jc w:val="both"/>
        <w:rPr>
          <w:color w:val="auto"/>
        </w:rPr>
      </w:pPr>
      <w:r>
        <w:rPr>
          <w:rFonts w:eastAsia="Arial" w:cs="Arial" w:ascii="Arial" w:hAnsi="Arial"/>
          <w:color w:val="auto"/>
          <w:sz w:val="22"/>
          <w:szCs w:val="22"/>
        </w:rPr>
        <w:t>6.1 Modalidade de Licitação: A aquisição de gases medicinais com regime de comodato de cilindro e aquisição de cilindros, deverá ocorrer por meio de processo licitatório, observando as modalidades previstas na legislação vigente.</w:t>
      </w:r>
    </w:p>
    <w:p>
      <w:pPr>
        <w:pStyle w:val="Normal"/>
        <w:spacing w:lineRule="auto" w:line="360"/>
        <w:jc w:val="both"/>
        <w:rPr>
          <w:color w:val="auto"/>
        </w:rPr>
      </w:pPr>
      <w:r>
        <w:rPr>
          <w:rFonts w:eastAsia="Arial" w:cs="Arial" w:ascii="Arial" w:hAnsi="Arial"/>
          <w:color w:val="auto"/>
          <w:sz w:val="22"/>
          <w:szCs w:val="22"/>
        </w:rPr>
        <w:t>6.2 Critérios de Avaliação: A avaliação das propostas dos licitantes será baseada no critério de "menor preço", considerando a qualidade dos materiais e a capacidade técnica da empresa.</w:t>
      </w:r>
    </w:p>
    <w:p>
      <w:pPr>
        <w:pStyle w:val="Normal"/>
        <w:spacing w:lineRule="auto" w:line="360"/>
        <w:jc w:val="both"/>
        <w:rPr>
          <w:color w:val="auto"/>
        </w:rPr>
      </w:pPr>
      <w:r>
        <w:rPr>
          <w:rFonts w:eastAsia="Arial" w:cs="Arial" w:ascii="Arial" w:hAnsi="Arial"/>
          <w:color w:val="auto"/>
          <w:sz w:val="22"/>
          <w:szCs w:val="22"/>
        </w:rPr>
        <w:t>6.1 Modalidade de Licitação: A aquisição de gases medicinais com regime de comodato de cilindro e aquisição de cilindros, deverá ocorrer por meio de processo licitatório, observando as modalidades previstas na legislação vigente.</w:t>
      </w:r>
    </w:p>
    <w:p>
      <w:pPr>
        <w:pStyle w:val="Normal"/>
        <w:spacing w:lineRule="auto" w:line="360"/>
        <w:jc w:val="both"/>
        <w:rPr>
          <w:color w:val="auto"/>
        </w:rPr>
      </w:pPr>
      <w:r>
        <w:rPr>
          <w:rFonts w:eastAsia="Arial" w:cs="Arial" w:ascii="Arial" w:hAnsi="Arial"/>
          <w:color w:val="auto"/>
          <w:sz w:val="22"/>
          <w:szCs w:val="22"/>
        </w:rPr>
        <w:t>6.2 Critérios de Avaliação: A avaliação das propostas dos licitantes será baseada no critério de "menor preço", considerando a qualidade dos materiais e a capacidade técnica da empresa.</w:t>
      </w:r>
    </w:p>
    <w:p>
      <w:pPr>
        <w:pStyle w:val="Normal"/>
        <w:spacing w:lineRule="auto" w:line="360"/>
        <w:jc w:val="both"/>
        <w:rPr>
          <w:color w:val="auto"/>
        </w:rPr>
      </w:pPr>
      <w:r>
        <w:rPr>
          <w:rFonts w:eastAsia="Arial" w:cs="Arial" w:ascii="Arial" w:hAnsi="Arial"/>
          <w:color w:val="auto"/>
          <w:sz w:val="22"/>
          <w:szCs w:val="22"/>
        </w:rPr>
        <w:t>6.3. Os fornecedores devem apresentar documentação técnica que comprove a qualidade e conformidade dos produtos ofertados e deverá cumprir os seguintes requisitos:</w:t>
      </w:r>
    </w:p>
    <w:p>
      <w:pPr>
        <w:pStyle w:val="Normal"/>
        <w:spacing w:lineRule="auto" w:line="360"/>
        <w:jc w:val="both"/>
        <w:rPr>
          <w:color w:val="auto"/>
        </w:rPr>
      </w:pPr>
      <w:bookmarkStart w:id="10" w:name="_heading=h.gjdgxs"/>
      <w:bookmarkEnd w:id="10"/>
      <w:r>
        <w:rPr>
          <w:rFonts w:eastAsia="Arial" w:cs="Arial" w:ascii="Arial" w:hAnsi="Arial"/>
          <w:color w:val="auto"/>
          <w:sz w:val="22"/>
          <w:szCs w:val="22"/>
        </w:rPr>
        <w:t>Atestados(s) de Capacidade Técnica, expedido(s) por pessoa jurídica de direito público ou privado, em papel que identifique o(s) mesmo (s), assinado(s), datado(s) e os signatários devidamente identificados com o nome completo e cargo, que comprove que a empresa licitante prestou ou presta os serviços compatíveis com o objeto deste edital;</w:t>
      </w:r>
    </w:p>
    <w:p>
      <w:pPr>
        <w:pStyle w:val="Normal"/>
        <w:spacing w:lineRule="auto" w:line="360"/>
        <w:jc w:val="both"/>
        <w:rPr>
          <w:color w:val="auto"/>
        </w:rPr>
      </w:pPr>
      <w:r>
        <w:rPr>
          <w:rFonts w:eastAsia="Arial" w:cs="Arial" w:ascii="Arial" w:hAnsi="Arial"/>
          <w:color w:val="auto"/>
          <w:sz w:val="22"/>
          <w:szCs w:val="22"/>
        </w:rPr>
        <w:t>Apresentar alvará de funcionamento da empresa emitida pela Prefeitura do domicilio da Licitante;</w:t>
      </w:r>
    </w:p>
    <w:p>
      <w:pPr>
        <w:pStyle w:val="Normal"/>
        <w:spacing w:lineRule="auto" w:line="360"/>
        <w:jc w:val="both"/>
        <w:rPr>
          <w:color w:val="auto"/>
        </w:rPr>
      </w:pPr>
      <w:r>
        <w:rPr>
          <w:rFonts w:eastAsia="Arial" w:cs="Arial" w:ascii="Arial" w:hAnsi="Arial"/>
          <w:color w:val="auto"/>
          <w:sz w:val="22"/>
          <w:szCs w:val="22"/>
        </w:rPr>
        <w:t>Apresentar licença Sanitária emitida pela Secretaria de Estado de Saúde ou Secretaria Municipal de Saúde, quando Gestão Plena, para as empresas que fabricam, armazenam e distribuem produtos de saúde e de interesse da saúde;</w:t>
      </w:r>
    </w:p>
    <w:p>
      <w:pPr>
        <w:pStyle w:val="Normal"/>
        <w:spacing w:lineRule="auto" w:line="360"/>
        <w:jc w:val="both"/>
        <w:rPr>
          <w:color w:val="auto"/>
        </w:rPr>
      </w:pPr>
      <w:r>
        <w:rPr>
          <w:rFonts w:eastAsia="Arial" w:cs="Arial" w:ascii="Arial" w:hAnsi="Arial"/>
          <w:color w:val="auto"/>
          <w:sz w:val="22"/>
          <w:szCs w:val="22"/>
        </w:rPr>
        <w:t>Autorizações para Funcionamento expedido pela ANVISA para fabricação / envase de gases medicinais, conforme RDC 16, de 01 de abril de 2014 e RDC 32, de 5 de julho de 2011 e suas atualizações;</w:t>
      </w:r>
    </w:p>
    <w:p>
      <w:pPr>
        <w:pStyle w:val="Normal"/>
        <w:spacing w:lineRule="auto" w:line="360"/>
        <w:jc w:val="both"/>
        <w:rPr>
          <w:color w:val="auto"/>
        </w:rPr>
      </w:pPr>
      <w:r>
        <w:rPr>
          <w:rFonts w:eastAsia="Arial" w:cs="Arial" w:ascii="Arial" w:hAnsi="Arial"/>
          <w:color w:val="auto"/>
          <w:sz w:val="22"/>
          <w:szCs w:val="22"/>
        </w:rPr>
        <w:t>Apresentar registro da ANVISA ou Ministério da Saúde para todos os equipamentos e seus acessórios comercializados;</w:t>
      </w:r>
    </w:p>
    <w:p>
      <w:pPr>
        <w:pStyle w:val="Normal"/>
        <w:spacing w:lineRule="auto" w:line="360"/>
        <w:jc w:val="both"/>
        <w:rPr>
          <w:color w:val="auto"/>
        </w:rPr>
      </w:pPr>
      <w:r>
        <w:rPr>
          <w:rFonts w:eastAsia="Arial" w:cs="Arial" w:ascii="Arial" w:hAnsi="Arial"/>
          <w:color w:val="auto"/>
          <w:sz w:val="22"/>
          <w:szCs w:val="22"/>
        </w:rPr>
        <w:t>Apresentar certidão de registro da empresa junto ao Conselho Regional de Química (CRQ) ou ao Conselho Regional de Farmácia (CRF).</w:t>
      </w:r>
    </w:p>
    <w:p>
      <w:pPr>
        <w:pStyle w:val="Normal"/>
        <w:spacing w:lineRule="auto" w:line="360"/>
        <w:jc w:val="both"/>
        <w:rPr>
          <w:color w:val="auto"/>
        </w:rPr>
      </w:pPr>
      <w:r>
        <w:rPr>
          <w:rFonts w:eastAsia="Arial" w:cs="Arial" w:ascii="Arial" w:hAnsi="Arial"/>
          <w:color w:val="auto"/>
          <w:sz w:val="22"/>
          <w:szCs w:val="22"/>
        </w:rPr>
        <w:t xml:space="preserve"> </w:t>
      </w:r>
      <w:r>
        <w:rPr>
          <w:rFonts w:eastAsia="Arial" w:cs="Arial" w:ascii="Arial" w:hAnsi="Arial"/>
          <w:color w:val="auto"/>
          <w:sz w:val="22"/>
          <w:szCs w:val="22"/>
        </w:rPr>
        <w:t>6.4. O Oxigênio Medicinal e Óxido Nitroso fornecido deverá atender às especificações técnicas e sanitárias necessárias para sua utilização em saúde pública, em especial aquelas determinadas pela ANVISA e legislações correlatas.</w:t>
      </w:r>
    </w:p>
    <w:p>
      <w:pPr>
        <w:pStyle w:val="Normal"/>
        <w:spacing w:lineRule="auto" w:line="360"/>
        <w:jc w:val="both"/>
        <w:rPr>
          <w:color w:val="auto"/>
        </w:rPr>
      </w:pPr>
      <w:r>
        <w:rPr>
          <w:rFonts w:eastAsia="Arial" w:cs="Arial" w:ascii="Arial" w:hAnsi="Arial"/>
          <w:color w:val="auto"/>
          <w:sz w:val="22"/>
          <w:szCs w:val="22"/>
        </w:rPr>
        <w:t>6.5. Prazo de entrega de no mínimo 7 dias úteis após a ordem de fornecimento, podendo ser prorrogado por igual período.</w:t>
      </w:r>
    </w:p>
    <w:p>
      <w:pPr>
        <w:pStyle w:val="Normal"/>
        <w:spacing w:lineRule="auto" w:line="360"/>
        <w:jc w:val="both"/>
        <w:rPr>
          <w:color w:val="auto"/>
        </w:rPr>
      </w:pPr>
      <w:r>
        <w:rPr>
          <w:rFonts w:eastAsia="Arial" w:cs="Arial" w:ascii="Arial" w:hAnsi="Arial"/>
          <w:color w:val="auto"/>
          <w:sz w:val="22"/>
          <w:szCs w:val="22"/>
        </w:rPr>
        <w:t>6.6. A qualidade e a pureza do Oxigênio Medicinal e Óxido Nitroso fornecido devem atender aos padrões estabelecidos pela ANVISA e normas técnicas aplicáveis.</w:t>
      </w:r>
    </w:p>
    <w:p>
      <w:pPr>
        <w:pStyle w:val="Normal"/>
        <w:spacing w:lineRule="auto" w:line="360"/>
        <w:jc w:val="both"/>
        <w:rPr>
          <w:color w:val="auto"/>
        </w:rPr>
      </w:pPr>
      <w:r>
        <w:rPr>
          <w:rFonts w:eastAsia="Arial" w:cs="Arial" w:ascii="Arial" w:hAnsi="Arial"/>
          <w:color w:val="auto"/>
          <w:sz w:val="22"/>
          <w:szCs w:val="22"/>
        </w:rPr>
        <w:t>6.7. Os equipamentos e cilindros utilizados para o armazenamento e distribuição do Oxigênio Medicinal e do Óxido Nitroso devem ser devidamente certificados e estar em conformidade com as normas de segurança.</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bCs/>
          <w:color w:val="auto"/>
          <w:sz w:val="22"/>
          <w:szCs w:val="22"/>
        </w:rPr>
        <w:t>7. MODELO DE EXECUÇÃO DO OBJETO</w:t>
      </w:r>
    </w:p>
    <w:p>
      <w:pPr>
        <w:pStyle w:val="Normal"/>
        <w:spacing w:lineRule="auto" w:line="360"/>
        <w:jc w:val="both"/>
        <w:rPr>
          <w:color w:val="auto"/>
        </w:rPr>
      </w:pPr>
      <w:r>
        <w:rPr>
          <w:rFonts w:eastAsia="Arial" w:cs="Arial" w:ascii="Arial" w:hAnsi="Arial"/>
          <w:color w:val="auto"/>
          <w:sz w:val="22"/>
          <w:szCs w:val="22"/>
        </w:rPr>
        <w:t>7.1. A execução deverá ocorrer de acordo com as ordens de fornecimento emitidas durante o período de vigência da Ata de Registro de Preços.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bCs/>
          <w:color w:val="auto"/>
          <w:sz w:val="22"/>
          <w:szCs w:val="22"/>
        </w:rPr>
        <w:t>8. MODELO DE GESTÃO DO CONTRATO</w:t>
      </w:r>
    </w:p>
    <w:p>
      <w:pPr>
        <w:pStyle w:val="Normal"/>
        <w:spacing w:lineRule="auto" w:line="360"/>
        <w:jc w:val="both"/>
        <w:rPr>
          <w:color w:val="auto"/>
        </w:rPr>
      </w:pPr>
      <w:r>
        <w:rPr>
          <w:rFonts w:eastAsia="Arial" w:cs="Arial" w:ascii="Arial" w:hAnsi="Arial"/>
          <w:color w:val="auto"/>
          <w:sz w:val="22"/>
          <w:szCs w:val="22"/>
        </w:rPr>
        <w:t>8.1. A execução do objeto será acompanhada e fiscalizada pelo órgão ou entidade responsável, com relatórios periódicos.</w:t>
      </w:r>
    </w:p>
    <w:p>
      <w:pPr>
        <w:pStyle w:val="Normal"/>
        <w:spacing w:lineRule="auto" w:line="360"/>
        <w:jc w:val="both"/>
        <w:rPr>
          <w:color w:val="auto"/>
        </w:rPr>
      </w:pPr>
      <w:r>
        <w:rPr>
          <w:rFonts w:eastAsia="Arial" w:cs="Arial" w:ascii="Arial" w:hAnsi="Arial"/>
          <w:color w:val="auto"/>
          <w:sz w:val="22"/>
          <w:szCs w:val="22"/>
        </w:rPr>
        <w:t>8.2. Escopo do Fornecimento:</w:t>
      </w:r>
    </w:p>
    <w:p>
      <w:pPr>
        <w:pStyle w:val="Normal"/>
        <w:spacing w:lineRule="auto" w:line="360"/>
        <w:jc w:val="both"/>
        <w:rPr>
          <w:color w:val="auto"/>
        </w:rPr>
      </w:pPr>
      <w:r>
        <w:rPr>
          <w:rFonts w:eastAsia="Arial" w:cs="Arial" w:ascii="Arial" w:hAnsi="Arial"/>
          <w:color w:val="auto"/>
          <w:sz w:val="22"/>
          <w:szCs w:val="22"/>
        </w:rPr>
        <w:t xml:space="preserve">8.2.1. </w:t>
        <w:tab/>
        <w:t>Entrega programada na Sede da Prefeitura Municipal, com observância aos prazos e às condições de armazenamento e transporte.</w:t>
      </w:r>
    </w:p>
    <w:p>
      <w:pPr>
        <w:pStyle w:val="Normal"/>
        <w:spacing w:lineRule="auto" w:line="360"/>
        <w:jc w:val="both"/>
        <w:rPr>
          <w:color w:val="auto"/>
        </w:rPr>
      </w:pPr>
      <w:r>
        <w:rPr>
          <w:rFonts w:eastAsia="Arial" w:cs="Arial" w:ascii="Arial" w:hAnsi="Arial"/>
          <w:color w:val="auto"/>
          <w:sz w:val="22"/>
          <w:szCs w:val="22"/>
        </w:rPr>
        <w:t xml:space="preserve">8.2.2. </w:t>
        <w:tab/>
        <w:t>Atendimento a necessidades específicas de aquisições de materiais, dentro das normas legais pertinentes.</w:t>
      </w:r>
    </w:p>
    <w:p>
      <w:pPr>
        <w:pStyle w:val="Normal"/>
        <w:spacing w:lineRule="auto" w:line="360"/>
        <w:jc w:val="both"/>
        <w:rPr>
          <w:color w:val="auto"/>
        </w:rPr>
      </w:pPr>
      <w:r>
        <w:rPr>
          <w:rFonts w:eastAsia="Arial" w:cs="Arial" w:ascii="Arial" w:hAnsi="Arial"/>
          <w:color w:val="auto"/>
          <w:sz w:val="22"/>
          <w:szCs w:val="22"/>
        </w:rPr>
        <w:t>8.3. Manutenção e Assistência:</w:t>
      </w:r>
    </w:p>
    <w:p>
      <w:pPr>
        <w:pStyle w:val="Normal"/>
        <w:spacing w:lineRule="auto" w:line="360"/>
        <w:jc w:val="both"/>
        <w:rPr>
          <w:color w:val="auto"/>
        </w:rPr>
      </w:pPr>
      <w:r>
        <w:rPr>
          <w:rFonts w:eastAsia="Arial" w:cs="Arial" w:ascii="Arial" w:hAnsi="Arial"/>
          <w:color w:val="auto"/>
          <w:sz w:val="22"/>
          <w:szCs w:val="22"/>
        </w:rPr>
        <w:t xml:space="preserve">8.3.1. </w:t>
        <w:tab/>
        <w:t>Substituição de materiais que não atendam às especificações ou que apresentem defeitos em até 02 dias úteis.</w:t>
      </w:r>
    </w:p>
    <w:p>
      <w:pPr>
        <w:pStyle w:val="Normal"/>
        <w:spacing w:lineRule="auto" w:line="360"/>
        <w:jc w:val="both"/>
        <w:rPr>
          <w:color w:val="auto"/>
        </w:rPr>
      </w:pPr>
      <w:r>
        <w:rPr>
          <w:rFonts w:eastAsia="Arial" w:cs="Arial" w:ascii="Arial" w:hAnsi="Arial"/>
          <w:color w:val="auto"/>
          <w:sz w:val="22"/>
          <w:szCs w:val="22"/>
        </w:rPr>
        <w:t>8.4. Medidas Sustentáveis:</w:t>
      </w:r>
    </w:p>
    <w:p>
      <w:pPr>
        <w:pStyle w:val="Normal"/>
        <w:spacing w:lineRule="auto" w:line="360"/>
        <w:jc w:val="both"/>
        <w:rPr>
          <w:color w:val="auto"/>
        </w:rPr>
      </w:pPr>
      <w:r>
        <w:rPr>
          <w:rFonts w:eastAsia="Arial" w:cs="Arial" w:ascii="Arial" w:hAnsi="Arial"/>
          <w:color w:val="auto"/>
          <w:sz w:val="22"/>
          <w:szCs w:val="22"/>
        </w:rPr>
        <w:t xml:space="preserve">8.4.1. </w:t>
        <w:tab/>
        <w:t>Embalagens biodegradáveis e/ou reutilizáveis sempre que possível.</w:t>
      </w:r>
    </w:p>
    <w:p>
      <w:pPr>
        <w:pStyle w:val="Normal"/>
        <w:spacing w:lineRule="auto" w:line="360"/>
        <w:jc w:val="both"/>
        <w:rPr>
          <w:color w:val="auto"/>
        </w:rPr>
      </w:pPr>
      <w:r>
        <w:rPr>
          <w:rFonts w:eastAsia="Arial" w:cs="Arial" w:ascii="Arial" w:hAnsi="Arial"/>
          <w:color w:val="auto"/>
          <w:sz w:val="22"/>
          <w:szCs w:val="22"/>
        </w:rPr>
        <w:t>8.5. Controles de Qualidade:</w:t>
      </w:r>
    </w:p>
    <w:p>
      <w:pPr>
        <w:pStyle w:val="Normal"/>
        <w:spacing w:lineRule="auto" w:line="360"/>
        <w:jc w:val="both"/>
        <w:rPr>
          <w:color w:val="auto"/>
        </w:rPr>
      </w:pPr>
      <w:r>
        <w:rPr>
          <w:rFonts w:eastAsia="Arial" w:cs="Arial" w:ascii="Arial" w:hAnsi="Arial"/>
          <w:color w:val="auto"/>
          <w:sz w:val="22"/>
          <w:szCs w:val="22"/>
        </w:rPr>
        <w:t>8.5.1.  Auditorias regulares para assegurar conformidade com os padrões estabelecidos.</w:t>
      </w:r>
    </w:p>
    <w:p>
      <w:pPr>
        <w:pStyle w:val="Normal"/>
        <w:spacing w:lineRule="auto" w:line="360"/>
        <w:jc w:val="both"/>
        <w:rPr>
          <w:color w:val="auto"/>
        </w:rPr>
      </w:pPr>
      <w:r>
        <w:rPr>
          <w:rFonts w:eastAsia="Arial" w:cs="Arial" w:ascii="Arial" w:hAnsi="Arial"/>
          <w:color w:val="auto"/>
          <w:sz w:val="22"/>
          <w:szCs w:val="22"/>
        </w:rPr>
        <w:t>Ao observar esses aspectos na descrição da solução, buscamos garantir que o fornecimento de materiais de Escritório para as secretarias do Município Araçuaí seja realizado de forma eficaz, sustentável e alinhada às melhores práticas de sustentáveis.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bCs/>
          <w:color w:val="auto"/>
          <w:sz w:val="22"/>
          <w:szCs w:val="22"/>
        </w:rPr>
        <w:t>9</w:t>
      </w:r>
      <w:r>
        <w:rPr>
          <w:rFonts w:eastAsia="Arial" w:cs="Arial" w:ascii="Arial" w:hAnsi="Arial"/>
          <w:color w:val="auto"/>
          <w:sz w:val="22"/>
          <w:szCs w:val="22"/>
        </w:rPr>
        <w:t xml:space="preserve">. </w:t>
      </w:r>
      <w:r>
        <w:rPr>
          <w:rFonts w:eastAsia="Arial" w:cs="Arial" w:ascii="Arial" w:hAnsi="Arial"/>
          <w:b/>
          <w:bCs/>
          <w:color w:val="auto"/>
          <w:sz w:val="22"/>
          <w:szCs w:val="22"/>
        </w:rPr>
        <w:t>CRITÉRIOS DE ENTREGAS E DE PAGAMENTO</w:t>
      </w:r>
    </w:p>
    <w:p>
      <w:pPr>
        <w:pStyle w:val="Normal"/>
        <w:spacing w:lineRule="auto" w:line="360"/>
        <w:jc w:val="both"/>
        <w:rPr>
          <w:color w:val="auto"/>
        </w:rPr>
      </w:pPr>
      <w:r>
        <w:rPr>
          <w:rFonts w:eastAsia="Arial" w:cs="Arial" w:ascii="Arial" w:hAnsi="Arial"/>
          <w:color w:val="auto"/>
          <w:sz w:val="22"/>
          <w:szCs w:val="22"/>
        </w:rPr>
        <w:t xml:space="preserve">9.1. O pagamento será efetuado conforme as entregas forem realizadas e aceitas pelo órgão responsável, </w:t>
      </w:r>
      <w:r>
        <w:rPr>
          <w:color w:val="auto"/>
        </w:rPr>
        <w:t>dentro de até 30 (trinta) dias</w:t>
      </w:r>
      <w:r>
        <w:rPr>
          <w:rFonts w:eastAsia="Arial" w:cs="Arial" w:ascii="Arial" w:hAnsi="Arial"/>
          <w:color w:val="auto"/>
          <w:sz w:val="22"/>
          <w:szCs w:val="22"/>
        </w:rPr>
        <w:t>.</w:t>
      </w:r>
    </w:p>
    <w:p>
      <w:pPr>
        <w:pStyle w:val="Normal"/>
        <w:spacing w:lineRule="auto" w:line="360"/>
        <w:jc w:val="both"/>
        <w:rPr>
          <w:color w:val="auto"/>
        </w:rPr>
      </w:pPr>
      <w:r>
        <w:rPr>
          <w:rFonts w:eastAsia="Arial" w:cs="Arial" w:ascii="Arial" w:hAnsi="Arial"/>
          <w:color w:val="auto"/>
          <w:sz w:val="22"/>
          <w:szCs w:val="22"/>
        </w:rPr>
        <w:t xml:space="preserve"> </w:t>
      </w:r>
      <w:r>
        <w:rPr>
          <w:rFonts w:eastAsia="Arial" w:cs="Arial" w:ascii="Arial" w:hAnsi="Arial"/>
          <w:color w:val="auto"/>
          <w:sz w:val="22"/>
          <w:szCs w:val="22"/>
        </w:rPr>
        <w:t xml:space="preserve">9.2.  As entregas serão efetuadas dentro do prazo de 07 (sete) dias úteis após a emissão da ordem de fornecimento. </w:t>
      </w:r>
    </w:p>
    <w:p>
      <w:pPr>
        <w:pStyle w:val="Normal"/>
        <w:spacing w:lineRule="auto" w:line="360"/>
        <w:jc w:val="both"/>
        <w:rPr>
          <w:color w:val="auto"/>
        </w:rPr>
      </w:pPr>
      <w:r>
        <w:rPr>
          <w:rFonts w:eastAsia="Arial" w:cs="Arial" w:ascii="Arial" w:hAnsi="Arial"/>
          <w:b/>
          <w:bCs/>
          <w:color w:val="auto"/>
          <w:sz w:val="22"/>
          <w:szCs w:val="22"/>
        </w:rPr>
        <w:t>10. FORMA E CRITÉRIOS DE SELEÇÃO DO FORNECEDOR</w:t>
      </w:r>
    </w:p>
    <w:p>
      <w:pPr>
        <w:pStyle w:val="Normal"/>
        <w:spacing w:lineRule="auto" w:line="360"/>
        <w:jc w:val="both"/>
        <w:rPr>
          <w:color w:val="auto"/>
        </w:rPr>
      </w:pPr>
      <w:r>
        <w:rPr>
          <w:rFonts w:eastAsia="Arial" w:cs="Arial" w:ascii="Arial" w:hAnsi="Arial"/>
          <w:color w:val="auto"/>
          <w:sz w:val="22"/>
          <w:szCs w:val="22"/>
        </w:rPr>
        <w:t>10.1. A seleção do fornecedor será realizada através de processo licitatório, em conformidade com a legislação vigente.</w:t>
      </w:r>
    </w:p>
    <w:p>
      <w:pPr>
        <w:pStyle w:val="Normal"/>
        <w:spacing w:lineRule="auto" w:line="360"/>
        <w:jc w:val="both"/>
        <w:rPr>
          <w:color w:val="auto"/>
        </w:rPr>
      </w:pPr>
      <w:r>
        <w:rPr>
          <w:rFonts w:eastAsia="Arial" w:cs="Arial" w:ascii="Arial" w:hAnsi="Arial"/>
          <w:color w:val="auto"/>
          <w:sz w:val="22"/>
          <w:szCs w:val="22"/>
        </w:rPr>
        <w:t>10.1.1. Será adotado o critério de julgamento menor preço por item.</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b/>
          <w:bCs/>
          <w:color w:val="auto"/>
          <w:sz w:val="22"/>
          <w:szCs w:val="22"/>
        </w:rPr>
        <w:t>11. ESTIMATIVAS DO VALOR DA CONTRATAÇÃO</w:t>
      </w:r>
    </w:p>
    <w:p>
      <w:pPr>
        <w:pStyle w:val="Normal"/>
        <w:spacing w:lineRule="auto" w:line="360"/>
        <w:jc w:val="both"/>
        <w:rPr>
          <w:color w:val="auto"/>
        </w:rPr>
      </w:pPr>
      <w:r>
        <w:rPr>
          <w:rFonts w:eastAsia="Arial" w:cs="Arial" w:ascii="Arial" w:hAnsi="Arial"/>
          <w:color w:val="auto"/>
          <w:sz w:val="22"/>
          <w:szCs w:val="22"/>
        </w:rPr>
        <w:t>11.1. O valor estimado é de R$ 821.009,80 (oitocentos e vinte e um mil nove reais e oitenta centavos), conforme pesquisa de mercado anexada ao processo.</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b/>
          <w:bCs/>
          <w:color w:val="auto"/>
          <w:sz w:val="22"/>
          <w:szCs w:val="22"/>
        </w:rPr>
        <w:t>12. ADEQUAÇÃO ORÇAMENTÁRIA</w:t>
      </w:r>
    </w:p>
    <w:p>
      <w:pPr>
        <w:pStyle w:val="Normal"/>
        <w:spacing w:lineRule="auto" w:line="360"/>
        <w:jc w:val="both"/>
        <w:rPr>
          <w:color w:val="auto"/>
        </w:rPr>
      </w:pPr>
      <w:r>
        <w:rPr>
          <w:rFonts w:eastAsia="Arial" w:cs="Arial" w:ascii="Arial" w:hAnsi="Arial"/>
          <w:color w:val="auto"/>
          <w:sz w:val="22"/>
          <w:szCs w:val="22"/>
        </w:rPr>
        <w:t xml:space="preserve">12.1. O registro de preço está adequado ao orçamento disponível para o exercício financeiro. </w:t>
      </w:r>
    </w:p>
    <w:p>
      <w:pPr>
        <w:pStyle w:val="Normal"/>
        <w:spacing w:lineRule="auto" w:line="360"/>
        <w:jc w:val="both"/>
        <w:rPr>
          <w:color w:val="auto"/>
        </w:rPr>
      </w:pPr>
      <w:r>
        <w:rPr>
          <w:rFonts w:eastAsia="Arial" w:cs="Arial" w:ascii="Arial" w:hAnsi="Arial"/>
          <w:color w:val="auto"/>
          <w:sz w:val="22"/>
          <w:szCs w:val="22"/>
        </w:rPr>
        <w:t>O presente Termo de Referência foi elaborado em conformidade com a Lei Federal Nº 14.133/2021, Decreto Municipal nº 030/2024, seus anexos e alterações, e outros diplomas legais citados no Estudo Técnico Preliminar anexo.</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center"/>
        <w:rPr>
          <w:color w:val="auto"/>
        </w:rPr>
      </w:pPr>
      <w:r>
        <w:rPr>
          <w:rFonts w:eastAsia="Arial" w:cs="Arial" w:ascii="Arial" w:hAnsi="Arial"/>
          <w:b/>
          <w:color w:val="auto"/>
          <w:sz w:val="22"/>
          <w:szCs w:val="22"/>
        </w:rPr>
        <w:t>Israel Francisco Ornelas da Silva</w:t>
      </w:r>
    </w:p>
    <w:p>
      <w:pPr>
        <w:pStyle w:val="Normal"/>
        <w:spacing w:lineRule="auto" w:line="360"/>
        <w:jc w:val="center"/>
        <w:rPr>
          <w:color w:val="auto"/>
        </w:rPr>
      </w:pPr>
      <w:r>
        <w:rPr>
          <w:rFonts w:eastAsia="Arial" w:cs="Arial" w:ascii="Arial" w:hAnsi="Arial"/>
          <w:color w:val="auto"/>
          <w:sz w:val="22"/>
          <w:szCs w:val="22"/>
        </w:rPr>
        <w:t>Secretária Municipal de Saúde</w:t>
      </w:r>
    </w:p>
    <w:p>
      <w:pPr>
        <w:pStyle w:val="Normal"/>
        <w:tabs>
          <w:tab w:val="clear" w:pos="720"/>
          <w:tab w:val="left" w:pos="3401"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Ttulo1"/>
        <w:spacing w:lineRule="auto" w:line="360" w:before="0" w:after="0"/>
        <w:jc w:val="center"/>
        <w:rPr>
          <w:color w:val="auto"/>
        </w:rPr>
      </w:pPr>
      <w:r>
        <w:rPr>
          <w:color w:val="auto"/>
        </w:rPr>
      </w:r>
    </w:p>
    <w:p>
      <w:pPr>
        <w:pStyle w:val="Ttulo1"/>
        <w:spacing w:lineRule="auto" w:line="360" w:before="0" w:after="0"/>
        <w:jc w:val="center"/>
        <w:rPr>
          <w:color w:val="auto"/>
        </w:rPr>
      </w:pPr>
      <w:bookmarkStart w:id="11" w:name="_heading=h.2s8eyo1"/>
      <w:bookmarkEnd w:id="11"/>
      <w:r>
        <w:rPr>
          <w:rFonts w:cs="Arial"/>
          <w:color w:val="auto"/>
          <w:sz w:val="22"/>
          <w:szCs w:val="22"/>
        </w:rPr>
        <w:t>ANEXO II</w:t>
      </w:r>
    </w:p>
    <w:p>
      <w:pPr>
        <w:pStyle w:val="Ttulo1"/>
        <w:spacing w:lineRule="auto" w:line="360" w:before="0" w:after="0"/>
        <w:jc w:val="center"/>
        <w:rPr>
          <w:color w:val="auto"/>
        </w:rPr>
      </w:pPr>
      <w:r>
        <w:rPr>
          <w:rFonts w:cs="Arial"/>
          <w:color w:val="auto"/>
          <w:sz w:val="22"/>
          <w:szCs w:val="22"/>
        </w:rPr>
        <w:t>MINUTA DE ATA DE REGISTRO DE PREÇO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PROCESSO LICITATÓRIO N.º 021/2024</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MODALIDADE PREGÃO ELETRÔNICO N° 009/2024</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 xml:space="preserve">TIPO: MENOR PREÇO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PARTES:</w:t>
      </w:r>
    </w:p>
    <w:p>
      <w:pPr>
        <w:pStyle w:val="Normal"/>
        <w:spacing w:lineRule="auto" w:line="360"/>
        <w:jc w:val="both"/>
        <w:rPr>
          <w:color w:val="auto"/>
        </w:rPr>
      </w:pPr>
      <w:r>
        <w:rPr>
          <w:rFonts w:eastAsia="Arial" w:cs="Arial" w:ascii="Arial" w:hAnsi="Arial"/>
          <w:b/>
          <w:color w:val="auto"/>
          <w:sz w:val="22"/>
          <w:szCs w:val="22"/>
          <w:highlight w:val="lightGray"/>
        </w:rPr>
        <w:t xml:space="preserve">CONTRATANTE:  </w:t>
      </w:r>
    </w:p>
    <w:p>
      <w:pPr>
        <w:pStyle w:val="Normal"/>
        <w:tabs>
          <w:tab w:val="clear" w:pos="720"/>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Município de Araçuaí/MG, com sede na Praça rui Barbosa, nº 26 – Bairro Centro, na cidade de Araçuaí, CEP 39.600-000 – MG, inscrita no CNPJ/MF N. 17.963.083/0001-17, neste ato representado pela sua Secretária de Saúde, </w:t>
      </w:r>
      <w:r>
        <w:rPr>
          <w:rFonts w:eastAsia="Arial" w:cs="Arial" w:ascii="Arial" w:hAnsi="Arial"/>
          <w:b/>
          <w:color w:val="auto"/>
          <w:sz w:val="22"/>
          <w:szCs w:val="22"/>
        </w:rPr>
        <w:t>senhor</w:t>
      </w:r>
      <w:r>
        <w:rPr>
          <w:rFonts w:eastAsia="Arial" w:cs="Arial" w:ascii="Arial" w:hAnsi="Arial"/>
          <w:color w:val="auto"/>
          <w:sz w:val="22"/>
          <w:szCs w:val="22"/>
        </w:rPr>
        <w:t xml:space="preserve"> Israel Francisco Ornelas da Silva, portador do CPF Nº 077.319.646-39.</w:t>
      </w:r>
      <w:r>
        <w:rPr>
          <w:rFonts w:eastAsia="Arial" w:cs="Arial" w:ascii="Arial" w:hAnsi="Arial"/>
          <w:b/>
          <w:color w:val="auto"/>
          <w:sz w:val="22"/>
          <w:szCs w:val="22"/>
        </w:rPr>
        <w:t xml:space="preserve"> </w:t>
      </w:r>
    </w:p>
    <w:p>
      <w:pPr>
        <w:pStyle w:val="Normal"/>
        <w:tabs>
          <w:tab w:val="clear" w:pos="720"/>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ind w:left="2268" w:hanging="2268"/>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FORNECEDOR REGISTRADO:</w:t>
      </w:r>
    </w:p>
    <w:p>
      <w:pPr>
        <w:pStyle w:val="Normal"/>
        <w:tabs>
          <w:tab w:val="clear" w:pos="720"/>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Pr>
          <w:rFonts w:eastAsia="Arial" w:cs="Arial" w:ascii="Arial" w:hAnsi="Arial"/>
          <w:b/>
          <w:color w:val="auto"/>
          <w:sz w:val="22"/>
          <w:szCs w:val="22"/>
        </w:rPr>
        <w:t>senhor</w:t>
      </w:r>
      <w:r>
        <w:rPr>
          <w:rFonts w:eastAsia="Arial" w:cs="Arial" w:ascii="Arial" w:hAnsi="Arial"/>
          <w:color w:val="auto"/>
          <w:sz w:val="22"/>
          <w:szCs w:val="22"/>
        </w:rPr>
        <w:t xml:space="preserve"> ________________________________________, portador do CPF N.  XXX.XXX.XXX-XX, </w:t>
      </w:r>
      <w:r>
        <w:rPr>
          <w:rFonts w:eastAsia="Arial" w:cs="Arial" w:ascii="Arial" w:hAnsi="Arial"/>
          <w:b/>
          <w:color w:val="auto"/>
          <w:sz w:val="22"/>
          <w:szCs w:val="22"/>
        </w:rPr>
        <w:t>E-MAIL INSTITUCIONAL:</w:t>
      </w:r>
      <w:r>
        <w:rPr>
          <w:rFonts w:eastAsia="Arial" w:cs="Arial" w:ascii="Arial" w:hAnsi="Arial"/>
          <w:color w:val="auto"/>
          <w:sz w:val="22"/>
          <w:szCs w:val="22"/>
        </w:rPr>
        <w:t xml:space="preserve"> _________________________________________________.</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color w:val="auto"/>
          <w:sz w:val="22"/>
          <w:szCs w:val="22"/>
        </w:rPr>
        <w:t>Pela presente Ata de Registro de Preços entre as partes acima qualificadas, é firmada e ajustada, a aquisição constante no objeto do PREGÃO ELETRÔNICO nº 009/2024, Processo Administrativo Nº 021/2024, mediante o disposto na Lei n. 14.133/21 e alterações posteriores, em conformidade com as cláusulas que seguem:</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PRIMEIRA – DA DOCUMENTAÇÃO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1.1 -</w:t>
      </w:r>
      <w:r>
        <w:rPr>
          <w:rFonts w:eastAsia="Arial" w:cs="Arial" w:ascii="Arial" w:hAnsi="Arial"/>
          <w:color w:val="auto"/>
          <w:sz w:val="22"/>
          <w:szCs w:val="22"/>
        </w:rPr>
        <w:t xml:space="preserve"> Fazem parte integrante da presente Ata de Registro de Preços, independente de transcrição, o Edital, seus anexos e todos os demais documentos referentes ao objeto do referido Processo supracitado, que não contrariem o disposto neste instrumento.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SEGUNDA – DO OBJETO</w:t>
      </w:r>
    </w:p>
    <w:p>
      <w:pPr>
        <w:pStyle w:val="Normal"/>
        <w:spacing w:lineRule="auto" w:line="360"/>
        <w:jc w:val="both"/>
        <w:rPr>
          <w:color w:val="auto"/>
        </w:rPr>
      </w:pPr>
      <w:r>
        <w:rPr>
          <w:rFonts w:eastAsia="Arial" w:cs="Arial" w:ascii="Arial" w:hAnsi="Arial"/>
          <w:b/>
          <w:color w:val="auto"/>
          <w:sz w:val="22"/>
          <w:szCs w:val="22"/>
        </w:rPr>
        <w:t>2.1 -</w:t>
      </w:r>
      <w:r>
        <w:rPr>
          <w:rFonts w:eastAsia="Arial" w:cs="Arial" w:ascii="Arial" w:hAnsi="Arial"/>
          <w:color w:val="auto"/>
          <w:sz w:val="22"/>
          <w:szCs w:val="22"/>
        </w:rPr>
        <w:t xml:space="preserve"> Constitui o objeto do presente instrumento o </w:t>
      </w:r>
      <w:r>
        <w:rPr>
          <w:rFonts w:eastAsia="Arial" w:cs="Arial" w:ascii="Arial" w:hAnsi="Arial"/>
          <w:b/>
          <w:bCs/>
          <w:color w:val="auto"/>
          <w:sz w:val="22"/>
          <w:szCs w:val="22"/>
        </w:rPr>
        <w:t>REGISTRO DE PREÇOS PARA FUTURA E EVENTUAL AQUISIÇÃO DE OXIGÊNIO MEDICINAL E CILINDROS, COM REGIME DE COMODATO DE CILINDROS, PARA ATENDER AS DEMANDAS DA SECRETARIA DE SAÚDE DO MUNICÍPIO DE ARAÇUAI - MG</w:t>
      </w:r>
      <w:r>
        <w:rPr>
          <w:rFonts w:eastAsia="Arial" w:cs="Arial" w:ascii="Arial" w:hAnsi="Arial"/>
          <w:color w:val="auto"/>
          <w:sz w:val="22"/>
          <w:szCs w:val="22"/>
        </w:rPr>
        <w:t>,</w:t>
      </w:r>
      <w:r>
        <w:rPr>
          <w:rFonts w:eastAsia="Arial" w:cs="Arial" w:ascii="Arial" w:hAnsi="Arial"/>
          <w:b/>
          <w:color w:val="auto"/>
          <w:sz w:val="22"/>
          <w:szCs w:val="22"/>
        </w:rPr>
        <w:t xml:space="preserve"> </w:t>
      </w:r>
      <w:r>
        <w:rPr>
          <w:rFonts w:eastAsia="Arial" w:cs="Arial" w:ascii="Arial" w:hAnsi="Arial"/>
          <w:color w:val="auto"/>
          <w:sz w:val="22"/>
          <w:szCs w:val="22"/>
        </w:rPr>
        <w:t xml:space="preserve">conforme quantidades e especificações indicados na CLÁUSULA TERCEIRA deste instrumento e no Edital do Pregão Eletrônico supracitado.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2.2 –</w:t>
      </w:r>
      <w:r>
        <w:rPr>
          <w:rFonts w:eastAsia="Arial" w:cs="Arial" w:ascii="Arial" w:hAnsi="Arial"/>
          <w:color w:val="auto"/>
          <w:sz w:val="22"/>
          <w:szCs w:val="22"/>
        </w:rPr>
        <w:t xml:space="preserve"> A entrega de objeto, deve ocorrer em estrita conformidade com o termo de referência, anexo do edital e demais anexos que fazem parte integrante deste instrumento, independente de transcrição.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 xml:space="preserve">2.2.1. </w:t>
      </w:r>
      <w:r>
        <w:rPr>
          <w:rFonts w:eastAsia="Arial" w:cs="Arial" w:ascii="Arial" w:hAnsi="Arial"/>
          <w:color w:val="auto"/>
          <w:sz w:val="22"/>
          <w:szCs w:val="22"/>
        </w:rPr>
        <w:t>O registro de preços não obrigará a Administração a contratar em sua totalidade, sendo que as contrações se darão de acordo com a demanda do município, ou seja de forma parcelada.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PARÁGRAFO ÚNICO:</w:t>
      </w:r>
      <w:r>
        <w:rPr>
          <w:rFonts w:eastAsia="Arial" w:cs="Arial" w:ascii="Arial" w:hAnsi="Arial"/>
          <w:color w:val="auto"/>
          <w:sz w:val="22"/>
          <w:szCs w:val="22"/>
        </w:rPr>
        <w:t xml:space="preserve"> Toda e qualquer alteração no objeto somente poderá ser efetivada mediante prévia e expressa autorização por escrito do Município de Araçuaí.</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TERCEIRA – DO PREÇO REGISTRADO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3.1 -</w:t>
      </w:r>
      <w:r>
        <w:rPr>
          <w:rFonts w:eastAsia="Arial" w:cs="Arial" w:ascii="Arial" w:hAnsi="Arial"/>
          <w:color w:val="auto"/>
          <w:sz w:val="22"/>
          <w:szCs w:val="22"/>
        </w:rPr>
        <w:t xml:space="preserve"> Conforme proposta final da empresa adjudicatária do certame, o valor para o fornecimento do objeto da presente ata de registro de preços ocorrerá conforme o valor unitário abaixo discriminado, com validade pelo prazo de um ano: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tbl>
      <w:tblPr>
        <w:tblStyle w:val="Style84"/>
        <w:tblW w:w="9780" w:type="dxa"/>
        <w:jc w:val="left"/>
        <w:tblInd w:w="0" w:type="dxa"/>
        <w:tblLayout w:type="fixed"/>
        <w:tblCellMar>
          <w:top w:w="0" w:type="dxa"/>
          <w:left w:w="115" w:type="dxa"/>
          <w:bottom w:w="0" w:type="dxa"/>
          <w:right w:w="115" w:type="dxa"/>
        </w:tblCellMar>
        <w:tblLook w:firstRow="1" w:noVBand="1" w:lastRow="0" w:firstColumn="1" w:lastColumn="0" w:noHBand="0" w:val="04a0"/>
      </w:tblPr>
      <w:tblGrid>
        <w:gridCol w:w="845"/>
        <w:gridCol w:w="3249"/>
        <w:gridCol w:w="1201"/>
        <w:gridCol w:w="849"/>
        <w:gridCol w:w="847"/>
        <w:gridCol w:w="1575"/>
        <w:gridCol w:w="1213"/>
      </w:tblGrid>
      <w:tr>
        <w:trPr>
          <w:trHeight w:val="288" w:hRule="atLeast"/>
        </w:trPr>
        <w:tc>
          <w:tcPr>
            <w:tcW w:w="845"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ITEM</w:t>
            </w:r>
          </w:p>
        </w:tc>
        <w:tc>
          <w:tcPr>
            <w:tcW w:w="3249" w:type="dxa"/>
            <w:tcBorders>
              <w:top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DESCRIÇÃO</w:t>
            </w:r>
          </w:p>
        </w:tc>
        <w:tc>
          <w:tcPr>
            <w:tcW w:w="1201" w:type="dxa"/>
            <w:tcBorders>
              <w:top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MARCA</w:t>
            </w:r>
          </w:p>
        </w:tc>
        <w:tc>
          <w:tcPr>
            <w:tcW w:w="849" w:type="dxa"/>
            <w:tcBorders>
              <w:top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QNT</w:t>
            </w:r>
          </w:p>
        </w:tc>
        <w:tc>
          <w:tcPr>
            <w:tcW w:w="847" w:type="dxa"/>
            <w:tcBorders>
              <w:top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UNID</w:t>
            </w:r>
          </w:p>
        </w:tc>
        <w:tc>
          <w:tcPr>
            <w:tcW w:w="1575" w:type="dxa"/>
            <w:tcBorders>
              <w:top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VALOR UNITÁRIO</w:t>
            </w:r>
          </w:p>
        </w:tc>
        <w:tc>
          <w:tcPr>
            <w:tcW w:w="1213" w:type="dxa"/>
            <w:tcBorders>
              <w:top w:val="single" w:sz="4" w:space="0" w:color="000000"/>
              <w:bottom w:val="single" w:sz="4" w:space="0" w:color="000000"/>
              <w:right w:val="single" w:sz="4" w:space="0" w:color="000000"/>
            </w:tcBorders>
            <w:shd w:color="auto" w:fill="BFBFBF" w:val="clear"/>
            <w:vAlign w:val="center"/>
          </w:tcPr>
          <w:p>
            <w:pPr>
              <w:pStyle w:val="Normal"/>
              <w:widowControl w:val="false"/>
              <w:suppressAutoHyphens w:val="true"/>
              <w:spacing w:lineRule="auto" w:line="360" w:before="0" w:after="0"/>
              <w:jc w:val="center"/>
              <w:rPr>
                <w:rFonts w:ascii="Arial" w:hAnsi="Arial" w:eastAsia="Arial" w:cs="Arial"/>
                <w:b/>
                <w:b/>
                <w:color w:val="auto"/>
                <w:kern w:val="0"/>
                <w:sz w:val="22"/>
                <w:szCs w:val="22"/>
                <w:lang w:val="pt-BR" w:eastAsia="pt-BR" w:bidi="ar-SA"/>
              </w:rPr>
            </w:pPr>
            <w:r>
              <w:rPr>
                <w:rFonts w:eastAsia="Arial" w:cs="Arial" w:ascii="Arial" w:hAnsi="Arial"/>
                <w:b/>
                <w:color w:val="auto"/>
                <w:kern w:val="0"/>
                <w:sz w:val="22"/>
                <w:szCs w:val="22"/>
                <w:lang w:val="pt-BR" w:eastAsia="pt-BR" w:bidi="ar-SA"/>
              </w:rPr>
              <w:t>VALOR TOTAL</w:t>
            </w:r>
          </w:p>
        </w:tc>
      </w:tr>
      <w:tr>
        <w:trPr>
          <w:trHeight w:val="864" w:hRule="atLeast"/>
        </w:trPr>
        <w:tc>
          <w:tcPr>
            <w:tcW w:w="8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auto" w:line="360" w:before="0" w:after="0"/>
              <w:jc w:val="center"/>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1</w:t>
            </w:r>
          </w:p>
        </w:tc>
        <w:tc>
          <w:tcPr>
            <w:tcW w:w="3249" w:type="dxa"/>
            <w:tcBorders>
              <w:bottom w:val="single" w:sz="4" w:space="0" w:color="000000"/>
              <w:right w:val="single" w:sz="4" w:space="0" w:color="000000"/>
            </w:tcBorders>
            <w:shd w:color="auto" w:fill="auto" w:val="clear"/>
          </w:tcPr>
          <w:p>
            <w:pPr>
              <w:pStyle w:val="Normal"/>
              <w:widowControl w:val="false"/>
              <w:suppressAutoHyphens w:val="true"/>
              <w:spacing w:lineRule="auto" w:line="360" w:before="0" w:after="0"/>
              <w:jc w:val="left"/>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1201" w:type="dxa"/>
            <w:tcBorders>
              <w:bottom w:val="single" w:sz="4" w:space="0" w:color="000000"/>
              <w:right w:val="single" w:sz="4" w:space="0" w:color="000000"/>
            </w:tcBorders>
            <w:shd w:color="auto" w:fill="auto" w:val="clear"/>
            <w:vAlign w:val="bottom"/>
          </w:tcPr>
          <w:p>
            <w:pPr>
              <w:pStyle w:val="Normal"/>
              <w:widowControl w:val="false"/>
              <w:suppressAutoHyphens w:val="true"/>
              <w:spacing w:lineRule="auto" w:line="360" w:before="0" w:after="0"/>
              <w:jc w:val="left"/>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849" w:type="dxa"/>
            <w:tcBorders>
              <w:bottom w:val="single" w:sz="4" w:space="0" w:color="000000"/>
              <w:right w:val="single" w:sz="4" w:space="0" w:color="000000"/>
            </w:tcBorders>
            <w:shd w:color="auto" w:fill="auto" w:val="clear"/>
            <w:vAlign w:val="center"/>
          </w:tcPr>
          <w:p>
            <w:pPr>
              <w:pStyle w:val="Normal"/>
              <w:widowControl w:val="false"/>
              <w:suppressAutoHyphens w:val="true"/>
              <w:spacing w:lineRule="auto" w:line="360" w:before="0" w:after="0"/>
              <w:jc w:val="center"/>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847" w:type="dxa"/>
            <w:tcBorders>
              <w:bottom w:val="single" w:sz="4" w:space="0" w:color="000000"/>
              <w:right w:val="single" w:sz="4" w:space="0" w:color="000000"/>
            </w:tcBorders>
            <w:shd w:color="auto" w:fill="auto" w:val="clear"/>
            <w:vAlign w:val="center"/>
          </w:tcPr>
          <w:p>
            <w:pPr>
              <w:pStyle w:val="Normal"/>
              <w:widowControl w:val="false"/>
              <w:suppressAutoHyphens w:val="true"/>
              <w:spacing w:lineRule="auto" w:line="360" w:before="0" w:after="0"/>
              <w:jc w:val="center"/>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1575" w:type="dxa"/>
            <w:tcBorders>
              <w:bottom w:val="single" w:sz="4" w:space="0" w:color="000000"/>
              <w:right w:val="single" w:sz="4" w:space="0" w:color="000000"/>
            </w:tcBorders>
            <w:shd w:color="auto" w:fill="auto" w:val="clear"/>
            <w:vAlign w:val="bottom"/>
          </w:tcPr>
          <w:p>
            <w:pPr>
              <w:pStyle w:val="Normal"/>
              <w:widowControl w:val="false"/>
              <w:suppressAutoHyphens w:val="true"/>
              <w:spacing w:lineRule="auto" w:line="360" w:before="0" w:after="0"/>
              <w:jc w:val="left"/>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1213" w:type="dxa"/>
            <w:tcBorders>
              <w:bottom w:val="single" w:sz="4" w:space="0" w:color="000000"/>
              <w:right w:val="single" w:sz="4" w:space="0" w:color="000000"/>
            </w:tcBorders>
            <w:shd w:color="auto" w:fill="auto" w:val="clear"/>
            <w:vAlign w:val="bottom"/>
          </w:tcPr>
          <w:p>
            <w:pPr>
              <w:pStyle w:val="Normal"/>
              <w:widowControl w:val="false"/>
              <w:suppressAutoHyphens w:val="true"/>
              <w:spacing w:lineRule="auto" w:line="360" w:before="0" w:after="0"/>
              <w:jc w:val="left"/>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r>
    </w:tbl>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3.2 -</w:t>
      </w:r>
      <w:r>
        <w:rPr>
          <w:rFonts w:eastAsia="Arial" w:cs="Arial" w:ascii="Arial" w:hAnsi="Arial"/>
          <w:color w:val="auto"/>
          <w:sz w:val="22"/>
          <w:szCs w:val="22"/>
        </w:rPr>
        <w:t xml:space="preserve"> No preço registrado estão incluídos todas e quaisquer despesas diretas ou indiretas que venham a incidir sobre os mesmos, bem como o custo de transporte, materiais, mão de obra, encargos tributários, trabalhistas e previdenciários, além dos necessários e indispensáveis à completa execução dos serviços.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QUARTA – DA DOTAÇÃO ORÇAMENTÁRIA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4.1 -</w:t>
      </w:r>
      <w:r>
        <w:rPr>
          <w:rFonts w:eastAsia="Arial" w:cs="Arial" w:ascii="Arial" w:hAnsi="Arial"/>
          <w:color w:val="auto"/>
          <w:sz w:val="22"/>
          <w:szCs w:val="22"/>
        </w:rPr>
        <w:t xml:space="preserve"> Os recursos necessários ao cumprimento do presente instrumento correrão por conta do recurso indicado na ordem de compra.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QUINTA – DO PRAZO E DAS CONDIÇÕES DE ENTREGA DO OBJETO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5.1</w:t>
      </w:r>
      <w:r>
        <w:rPr>
          <w:rFonts w:eastAsia="Arial" w:cs="Arial" w:ascii="Arial" w:hAnsi="Arial"/>
          <w:color w:val="auto"/>
          <w:sz w:val="22"/>
          <w:szCs w:val="22"/>
        </w:rPr>
        <w:t xml:space="preserve"> - Todas as condições de entrega estão dispostas no Termo de Referência do referido processo, que faz parte deste instrumento.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SEXTA – DA VIGÊNCIA DA ATA DE REGISTRO DE PREÇOS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6.1 -</w:t>
      </w:r>
      <w:r>
        <w:rPr>
          <w:rFonts w:eastAsia="Arial" w:cs="Arial" w:ascii="Arial" w:hAnsi="Arial"/>
          <w:color w:val="auto"/>
          <w:sz w:val="22"/>
          <w:szCs w:val="22"/>
        </w:rPr>
        <w:t xml:space="preserve"> O prazo de validade da Ata de Registro de Preços será de 01</w:t>
      </w:r>
      <w:r>
        <w:rPr>
          <w:rFonts w:eastAsia="Arial" w:cs="Arial" w:ascii="Arial" w:hAnsi="Arial"/>
          <w:b/>
          <w:color w:val="auto"/>
          <w:sz w:val="22"/>
          <w:szCs w:val="22"/>
        </w:rPr>
        <w:t xml:space="preserve"> (um) ano</w:t>
      </w:r>
      <w:r>
        <w:rPr>
          <w:rFonts w:eastAsia="Arial" w:cs="Arial" w:ascii="Arial" w:hAnsi="Arial"/>
          <w:color w:val="auto"/>
          <w:sz w:val="22"/>
          <w:szCs w:val="22"/>
        </w:rPr>
        <w:t>, podendo ser prorrogado por igual período nos termos do art. 84 da Lei nº 14.133/21.</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6.1.1</w:t>
      </w:r>
      <w:r>
        <w:rPr>
          <w:rFonts w:eastAsia="Arial" w:cs="Arial" w:ascii="Arial" w:hAnsi="Arial"/>
          <w:color w:val="auto"/>
          <w:sz w:val="22"/>
          <w:szCs w:val="22"/>
        </w:rPr>
        <w:t xml:space="preserve"> - A vigência dos contratos decorrentes do Sistema de Registro de Preços será definida nos instrumentos convocatórios, observado o disposto no art. 105 da Lei nº 14.133/21.</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6.1.2</w:t>
      </w:r>
      <w:r>
        <w:rPr>
          <w:rFonts w:eastAsia="Arial" w:cs="Arial" w:ascii="Arial" w:hAnsi="Arial"/>
          <w:color w:val="auto"/>
          <w:sz w:val="22"/>
          <w:szCs w:val="22"/>
        </w:rPr>
        <w:t xml:space="preserve"> - O contrato decorrente do Sistema de Registro de Preços deverá ser assinado dentro do prazo de validade da ata de registro de preços.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6.2 -</w:t>
      </w:r>
      <w:r>
        <w:rPr>
          <w:rFonts w:eastAsia="Arial" w:cs="Arial" w:ascii="Arial" w:hAnsi="Arial"/>
          <w:color w:val="auto"/>
          <w:sz w:val="22"/>
          <w:szCs w:val="22"/>
        </w:rPr>
        <w:t xml:space="preserve"> Se o Fornecedor Registrado deixar de realizar o fornecimento dentro das especificações estabelecidas, será responsável pela imediata substituição ou troca do objeto rejeitado e o tempo despendido poderá ser computado para aplicação das penalidades previstas neste instrumento.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SÉTIMA – DAS OBRIGAÇÕES DO FORNECEDOR REGISTRADO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w:t>
      </w:r>
      <w:r>
        <w:rPr>
          <w:rFonts w:eastAsia="Arial" w:cs="Arial" w:ascii="Arial" w:hAnsi="Arial"/>
          <w:color w:val="auto"/>
          <w:sz w:val="22"/>
          <w:szCs w:val="22"/>
        </w:rPr>
        <w:t xml:space="preserve"> - Além das obrigações legais, regulamentares e das demais constantes deste instrumento e seus anexos, obriga-se, ainda, a empresa vencedora a:</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7.1.1</w:t>
      </w:r>
      <w:r>
        <w:rPr>
          <w:rFonts w:eastAsia="Arial" w:cs="Arial" w:ascii="Arial" w:hAnsi="Arial"/>
          <w:color w:val="auto"/>
          <w:sz w:val="22"/>
          <w:szCs w:val="22"/>
        </w:rPr>
        <w:t xml:space="preserve"> - </w:t>
      </w:r>
      <w:r>
        <w:rPr>
          <w:rFonts w:eastAsia="Arial" w:cs="Arial" w:ascii="Arial" w:hAnsi="Arial"/>
          <w:b/>
          <w:color w:val="auto"/>
          <w:sz w:val="22"/>
          <w:szCs w:val="22"/>
        </w:rPr>
        <w:t>E-MAIL INSTITUCIONAL</w:t>
      </w:r>
      <w:r>
        <w:rPr>
          <w:rFonts w:eastAsia="Arial" w:cs="Arial" w:ascii="Arial" w:hAnsi="Arial"/>
          <w:color w:val="auto"/>
          <w:sz w:val="22"/>
          <w:szCs w:val="22"/>
        </w:rPr>
        <w:t>: É dever da empresa vencedora/contratada manter durante o período de vigência do contrato de aquisições, e-mail institucional, oficial, atualizado, vigente e operacional, para executar os contatos oficiais com o Município de Araçuaí, para realização de contratos, adendos, renovações, notificações, ofícios e todos demais atos administrativos.</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7.2</w:t>
      </w:r>
      <w:r>
        <w:rPr>
          <w:rFonts w:eastAsia="Arial" w:cs="Arial" w:ascii="Arial" w:hAnsi="Arial"/>
          <w:color w:val="auto"/>
          <w:sz w:val="22"/>
          <w:szCs w:val="22"/>
        </w:rPr>
        <w:t xml:space="preserve"> - Assinar a Ata de Registro de Preços no prazo estabelecido no item </w:t>
      </w:r>
      <w:r>
        <w:rPr>
          <w:rFonts w:eastAsia="Arial" w:cs="Arial" w:ascii="Arial" w:hAnsi="Arial"/>
          <w:b/>
          <w:color w:val="auto"/>
          <w:sz w:val="22"/>
          <w:szCs w:val="22"/>
        </w:rPr>
        <w:t xml:space="preserve">DAS CONDIÇÕES PARA ASSINATURA DA ATA DE REGISTRO DE PREÇOS </w:t>
      </w:r>
      <w:r>
        <w:rPr>
          <w:rFonts w:eastAsia="Arial" w:cs="Arial" w:ascii="Arial" w:hAnsi="Arial"/>
          <w:color w:val="auto"/>
          <w:sz w:val="22"/>
          <w:szCs w:val="22"/>
        </w:rPr>
        <w:t>constante do Edital.</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7.3</w:t>
      </w:r>
      <w:r>
        <w:rPr>
          <w:rFonts w:eastAsia="Arial" w:cs="Arial" w:ascii="Arial" w:hAnsi="Arial"/>
          <w:color w:val="auto"/>
          <w:sz w:val="22"/>
          <w:szCs w:val="22"/>
        </w:rPr>
        <w:t xml:space="preserve"> - Efetuar a entrega do objeto licitado no prazo e local informado, juntamente com a emissão da ordem de compra, em conformidade com o que trata o termo de referência.</w:t>
      </w:r>
    </w:p>
    <w:p>
      <w:pPr>
        <w:pStyle w:val="Normal"/>
        <w:spacing w:lineRule="auto" w:line="360"/>
        <w:jc w:val="both"/>
        <w:rPr>
          <w:color w:val="auto"/>
        </w:rPr>
      </w:pPr>
      <w:r>
        <w:rPr>
          <w:rFonts w:eastAsia="Arial" w:cs="Arial" w:ascii="Arial" w:hAnsi="Arial"/>
          <w:b/>
          <w:color w:val="auto"/>
          <w:sz w:val="22"/>
          <w:szCs w:val="22"/>
        </w:rPr>
        <w:t xml:space="preserve">7.3.1 - </w:t>
      </w:r>
      <w:r>
        <w:rPr>
          <w:rFonts w:eastAsia="Arial" w:cs="Arial" w:ascii="Arial" w:hAnsi="Arial"/>
          <w:color w:val="auto"/>
          <w:sz w:val="22"/>
          <w:szCs w:val="22"/>
        </w:rPr>
        <w:t>O recebimento dos materiais será provisório para posterior verificação de sua conformidade com as especificações do Pregão e da proposta.</w:t>
      </w:r>
    </w:p>
    <w:p>
      <w:pPr>
        <w:pStyle w:val="Normal"/>
        <w:spacing w:lineRule="auto" w:line="360"/>
        <w:jc w:val="both"/>
        <w:rPr>
          <w:color w:val="auto"/>
        </w:rPr>
      </w:pPr>
      <w:r>
        <w:rPr>
          <w:rFonts w:eastAsia="Arial" w:cs="Arial" w:ascii="Arial" w:hAnsi="Arial"/>
          <w:b/>
          <w:color w:val="auto"/>
          <w:sz w:val="22"/>
          <w:szCs w:val="22"/>
        </w:rPr>
        <w:t xml:space="preserve">7.3.2 - </w:t>
      </w:r>
      <w:r>
        <w:rPr>
          <w:rFonts w:eastAsia="Arial" w:cs="Arial" w:ascii="Arial" w:hAnsi="Arial"/>
          <w:color w:val="auto"/>
          <w:sz w:val="22"/>
          <w:szCs w:val="22"/>
        </w:rPr>
        <w:t>O pedido de prorrogação de prazo para entrega dos objetos somente será conhecido pelo Município de Araçuaí - MG, caso o mesmo seja devidamente fundamentado e entregue no Setor de Licitações do Município de Araçuaí - MG, antes de expirar o prazo contratual inicialmente estabelecido.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7.4</w:t>
      </w:r>
      <w:r>
        <w:rPr>
          <w:rFonts w:eastAsia="Arial" w:cs="Arial" w:ascii="Arial" w:hAnsi="Arial"/>
          <w:color w:val="auto"/>
          <w:sz w:val="22"/>
          <w:szCs w:val="22"/>
        </w:rPr>
        <w:t xml:space="preserve"> - Garantir os materiais contra defeitos de fabricação e também, contra vícios, defeitos ou incorreções, resultantes da entrega.</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 xml:space="preserve">7.4.1 - </w:t>
      </w:r>
      <w:r>
        <w:rPr>
          <w:rFonts w:eastAsia="Arial" w:cs="Arial" w:ascii="Arial" w:hAnsi="Arial"/>
          <w:color w:val="auto"/>
          <w:sz w:val="22"/>
          <w:szCs w:val="22"/>
        </w:rPr>
        <w:t xml:space="preserve"> Fornecer materiais de primeira qualidade, considerando-se como tais àqueles que atendam satisfatoriamente os fins aos quais se destinam, apresentando ótimo rendimento, durabilidade e praticidade</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color w:val="auto"/>
          <w:sz w:val="22"/>
          <w:szCs w:val="22"/>
        </w:rPr>
        <w:t>.</w:t>
      </w:r>
      <w:r>
        <w:rPr>
          <w:rFonts w:eastAsia="Arial" w:cs="Arial" w:ascii="Arial" w:hAnsi="Arial"/>
          <w:b/>
          <w:color w:val="auto"/>
          <w:sz w:val="22"/>
          <w:szCs w:val="22"/>
        </w:rPr>
        <w:t xml:space="preserve">7.5 - </w:t>
      </w:r>
      <w:r>
        <w:rPr>
          <w:rFonts w:eastAsia="Arial" w:cs="Arial" w:ascii="Arial" w:hAnsi="Arial"/>
          <w:color w:val="auto"/>
          <w:sz w:val="22"/>
          <w:szCs w:val="22"/>
        </w:rPr>
        <w:t xml:space="preserve"> Arcar com todos os ônus necessários à completa entrega, considerando-se como tal a disponibilização, nos locais indicados pelo Município Araçuaí - MG, conforme quantitativos dos produtos adjudicados, tais como transporte, encargos sociais, tributos e outras incidências, se ocorrerem. </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7.6</w:t>
      </w:r>
      <w:r>
        <w:rPr>
          <w:rFonts w:eastAsia="Arial" w:cs="Arial" w:ascii="Arial" w:hAnsi="Arial"/>
          <w:color w:val="auto"/>
          <w:sz w:val="22"/>
          <w:szCs w:val="22"/>
        </w:rPr>
        <w:t xml:space="preserve"> - Substituir, no prazo estipulado no Termo de Referência, os produtos que, no ato da entrega, estiverem com suas embalagens violadas e/ou com identificação ilegível e em desacordo com as condições necessárias estabelecidas neste instrumento.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7.7 -</w:t>
      </w:r>
      <w:r>
        <w:rPr>
          <w:rFonts w:eastAsia="Arial" w:cs="Arial" w:ascii="Arial" w:hAnsi="Arial"/>
          <w:color w:val="auto"/>
          <w:sz w:val="22"/>
          <w:szCs w:val="22"/>
        </w:rPr>
        <w:t xml:space="preserve"> Substituir, ainda, por outro de qualidade, todo produto com defeito de fabricação.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7.8 -</w:t>
      </w:r>
      <w:r>
        <w:rPr>
          <w:rFonts w:eastAsia="Arial" w:cs="Arial" w:ascii="Arial" w:hAnsi="Arial"/>
          <w:color w:val="auto"/>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registrado, bem como pelo que o método de embalagem deverá ser adequado à proteção efetiva de toda mercadoria contra choques e intempéries durante o transporte.</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7.9 -</w:t>
      </w:r>
      <w:r>
        <w:rPr>
          <w:rFonts w:eastAsia="Arial" w:cs="Arial" w:ascii="Arial" w:hAnsi="Arial"/>
          <w:color w:val="auto"/>
          <w:sz w:val="22"/>
          <w:szCs w:val="22"/>
        </w:rPr>
        <w:t xml:space="preserve"> Reparar, corrigir, remover, reconstruir ou substituir, às suas expensas, no todo ou em parte, o objeto deste instrumento, em que se verificarem vícios, defeitos ou incorreções, resultantes da entrega do(s) produto(s), num prazo estipulado no Termo de Referência, salvo quando o defeito for, comprovadamente, provocado por uso indevido, sendo que o tempo extra despendido poderá ser computado para aplicação das penalidades previstas neste instrumento.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7.10 -</w:t>
      </w:r>
      <w:r>
        <w:rPr>
          <w:rFonts w:eastAsia="Arial" w:cs="Arial" w:ascii="Arial" w:hAnsi="Arial"/>
          <w:color w:val="auto"/>
          <w:sz w:val="22"/>
          <w:szCs w:val="22"/>
        </w:rPr>
        <w:t xml:space="preserve"> Cumprir rigorosamente com o disposto no Edital e demais anexos.</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7.11 -</w:t>
      </w:r>
      <w:r>
        <w:rPr>
          <w:rFonts w:eastAsia="Arial" w:cs="Arial" w:ascii="Arial" w:hAnsi="Arial"/>
          <w:color w:val="auto"/>
          <w:sz w:val="22"/>
          <w:szCs w:val="22"/>
        </w:rPr>
        <w:t xml:space="preserve"> Manter durante a execução deste contrato todas as condições de habilitação e qualificação exigidas na licitação.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 xml:space="preserve">7.12 - </w:t>
      </w:r>
      <w:r>
        <w:rPr>
          <w:rFonts w:eastAsia="Arial" w:cs="Arial" w:ascii="Arial" w:hAnsi="Arial"/>
          <w:color w:val="auto"/>
          <w:sz w:val="22"/>
          <w:szCs w:val="22"/>
        </w:rPr>
        <w:t>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7.13</w:t>
      </w:r>
      <w:r>
        <w:rPr>
          <w:rFonts w:eastAsia="Arial" w:cs="Arial" w:ascii="Arial" w:hAnsi="Arial"/>
          <w:color w:val="auto"/>
          <w:sz w:val="22"/>
          <w:szCs w:val="22"/>
        </w:rPr>
        <w:t xml:space="preserve"> - Responder por danos materiais ou físicos, causados por seus empregados, diretamente ao Município de Araçuaí- MG ou a terceiros, decorrente de sua culpa ou dolo.</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7.14</w:t>
      </w:r>
      <w:r>
        <w:rPr>
          <w:rFonts w:eastAsia="Arial" w:cs="Arial" w:ascii="Arial" w:hAnsi="Arial"/>
          <w:color w:val="auto"/>
          <w:sz w:val="22"/>
          <w:szCs w:val="22"/>
        </w:rPr>
        <w:t xml:space="preserve"> - Cumprir as exigências de reserva de cargos para pessoa com deficiência e para reabilitado da Previdência Social, previstas em lei e em outras normas específicas, conforme art. 63, inciso IV, da Lei Federal nº 14.133/21.</w:t>
      </w:r>
    </w:p>
    <w:p>
      <w:pPr>
        <w:pStyle w:val="Normal"/>
        <w:tabs>
          <w:tab w:val="clear" w:pos="720"/>
          <w:tab w:val="left" w:pos="709" w:leader="none"/>
          <w:tab w:val="left" w:pos="900" w:leader="none"/>
          <w:tab w:val="left" w:pos="1080" w:leader="none"/>
        </w:tabs>
        <w:spacing w:lineRule="auto" w:line="360"/>
        <w:jc w:val="both"/>
        <w:rPr>
          <w:color w:val="auto"/>
        </w:rPr>
      </w:pPr>
      <w:r>
        <w:rPr>
          <w:rFonts w:eastAsia="Arial" w:cs="Arial" w:ascii="Arial" w:hAnsi="Arial"/>
          <w:b/>
          <w:color w:val="auto"/>
          <w:sz w:val="22"/>
          <w:szCs w:val="22"/>
        </w:rPr>
        <w:t>7.15</w:t>
      </w:r>
      <w:r>
        <w:rPr>
          <w:rFonts w:eastAsia="Arial" w:cs="Arial" w:ascii="Arial" w:hAnsi="Arial"/>
          <w:color w:val="auto"/>
          <w:sz w:val="22"/>
          <w:szCs w:val="22"/>
        </w:rPr>
        <w:t xml:space="preserve"> - Em tudo agir segundo as diretrizes da Administração.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 xml:space="preserve">CLÁUSULA OITAVA – DAS OBRIGAÇÕES DO CONTRATANTE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8.1 -</w:t>
      </w:r>
      <w:r>
        <w:rPr>
          <w:rFonts w:eastAsia="Arial" w:cs="Arial" w:ascii="Arial" w:hAnsi="Arial"/>
          <w:color w:val="auto"/>
          <w:sz w:val="22"/>
          <w:szCs w:val="22"/>
        </w:rPr>
        <w:t xml:space="preserve"> O regime jurídico desta contratação confere ao contratante as prerrogativas do Art. 104 da Lei n° 14.133/21.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 xml:space="preserve">8.2 </w:t>
      </w:r>
      <w:r>
        <w:rPr>
          <w:rFonts w:eastAsia="Arial" w:cs="Arial" w:ascii="Arial" w:hAnsi="Arial"/>
          <w:color w:val="auto"/>
          <w:sz w:val="22"/>
          <w:szCs w:val="22"/>
        </w:rPr>
        <w:t xml:space="preserve">- Constituem obrigações do </w:t>
      </w:r>
      <w:r>
        <w:rPr>
          <w:rFonts w:eastAsia="Arial" w:cs="Arial" w:ascii="Arial" w:hAnsi="Arial"/>
          <w:b/>
          <w:color w:val="auto"/>
          <w:sz w:val="22"/>
          <w:szCs w:val="22"/>
        </w:rPr>
        <w:t>CONTRATANTE</w:t>
      </w:r>
      <w:r>
        <w:rPr>
          <w:rFonts w:eastAsia="Arial" w:cs="Arial" w:ascii="Arial" w:hAnsi="Arial"/>
          <w:color w:val="auto"/>
          <w:sz w:val="22"/>
          <w:szCs w:val="22"/>
        </w:rPr>
        <w:t>, além da constante do Art. 115 da Lei n.º 14.133/21, as especificadas no Edital.</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8.3 -</w:t>
      </w:r>
      <w:r>
        <w:rPr>
          <w:rFonts w:eastAsia="Arial" w:cs="Arial" w:ascii="Arial" w:hAnsi="Arial"/>
          <w:color w:val="auto"/>
          <w:sz w:val="22"/>
          <w:szCs w:val="22"/>
        </w:rPr>
        <w:t xml:space="preserve"> Acompanhar, fiscalizar e avaliar a execução do objeto deste Contrato/Ata de registro de preço;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8.4</w:t>
      </w:r>
      <w:r>
        <w:rPr>
          <w:rFonts w:eastAsia="Arial" w:cs="Arial" w:ascii="Arial" w:hAnsi="Arial"/>
          <w:color w:val="auto"/>
          <w:sz w:val="22"/>
          <w:szCs w:val="22"/>
        </w:rPr>
        <w:t xml:space="preserve"> - Emitir as ordens de Fornecimento ao Fornecedor Registrado, de acordo com as necessidades, respeitando os prazos para atendimentos;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8.5</w:t>
      </w:r>
      <w:r>
        <w:rPr>
          <w:rFonts w:eastAsia="Arial" w:cs="Arial" w:ascii="Arial" w:hAnsi="Arial"/>
          <w:color w:val="auto"/>
          <w:sz w:val="22"/>
          <w:szCs w:val="22"/>
        </w:rPr>
        <w:t xml:space="preserve"> - Prestar as informações e os esclarecimentos que venham a ser solicitados pelo Fornecedor Registrado;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8.6</w:t>
      </w:r>
      <w:r>
        <w:rPr>
          <w:rFonts w:eastAsia="Arial" w:cs="Arial" w:ascii="Arial" w:hAnsi="Arial"/>
          <w:color w:val="auto"/>
          <w:sz w:val="22"/>
          <w:szCs w:val="22"/>
        </w:rPr>
        <w:t xml:space="preserve"> - Efetuar o pagamento na forma ajustada no Edital e neste Instrumento;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8.7</w:t>
      </w:r>
      <w:r>
        <w:rPr>
          <w:rFonts w:eastAsia="Arial" w:cs="Arial" w:ascii="Arial" w:hAnsi="Arial"/>
          <w:color w:val="auto"/>
          <w:sz w:val="22"/>
          <w:szCs w:val="22"/>
        </w:rPr>
        <w:t xml:space="preserve"> -Cumprir com as demais obrigações constantes no Edital e outras previstas no Contrato/ ata de registro de preço.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 xml:space="preserve">CLÁUSULA NONA – DA FISCALIZAÇÃO </w:t>
      </w:r>
    </w:p>
    <w:p>
      <w:pPr>
        <w:pStyle w:val="Normal"/>
        <w:spacing w:lineRule="auto" w:line="360"/>
        <w:jc w:val="both"/>
        <w:rPr>
          <w:color w:val="auto"/>
        </w:rPr>
      </w:pPr>
      <w:r>
        <w:rPr>
          <w:rFonts w:eastAsia="Arial" w:cs="Arial" w:ascii="Arial" w:hAnsi="Arial"/>
          <w:b/>
          <w:color w:val="auto"/>
          <w:sz w:val="22"/>
          <w:szCs w:val="22"/>
        </w:rPr>
        <w:t>9.1</w:t>
      </w:r>
      <w:r>
        <w:rPr>
          <w:rFonts w:eastAsia="Arial" w:cs="Arial" w:ascii="Arial" w:hAnsi="Arial"/>
          <w:color w:val="auto"/>
          <w:sz w:val="22"/>
          <w:szCs w:val="22"/>
        </w:rPr>
        <w:t xml:space="preserve"> - A entrega do produto e o cumprimento do disposto neste instrumento serão fiscalizados pelo </w:t>
      </w:r>
      <w:r>
        <w:rPr>
          <w:rFonts w:eastAsia="Arial" w:cs="Arial" w:ascii="Arial" w:hAnsi="Arial"/>
          <w:b/>
          <w:bCs/>
          <w:color w:val="auto"/>
          <w:sz w:val="22"/>
          <w:szCs w:val="22"/>
        </w:rPr>
        <w:t>CONTRATANTE</w:t>
      </w:r>
      <w:r>
        <w:rPr>
          <w:rFonts w:eastAsia="Arial" w:cs="Arial" w:ascii="Arial" w:hAnsi="Arial"/>
          <w:color w:val="auto"/>
          <w:sz w:val="22"/>
          <w:szCs w:val="22"/>
        </w:rPr>
        <w:t>, por intermédio da(o) Maristane Alves Pereira, que acompanhará a entrega do produto, de acordo com o determinado, controlando os prazos estabelecidos para entrega do mesmo e apresentação de documentos fiscais, notificando à empresa vencedora a respeito de quaisquer reclamações ou solicitações havidas.</w:t>
      </w:r>
    </w:p>
    <w:p>
      <w:pPr>
        <w:pStyle w:val="Normal"/>
        <w:spacing w:lineRule="auto" w:line="360"/>
        <w:jc w:val="both"/>
        <w:rPr>
          <w:color w:val="auto"/>
        </w:rPr>
      </w:pPr>
      <w:r>
        <w:rPr>
          <w:rFonts w:eastAsia="Arial" w:cs="Arial" w:ascii="Arial" w:hAnsi="Arial"/>
          <w:b/>
          <w:color w:val="auto"/>
          <w:sz w:val="22"/>
          <w:szCs w:val="22"/>
        </w:rPr>
        <w:t>9.2</w:t>
      </w:r>
      <w:r>
        <w:rPr>
          <w:rFonts w:eastAsia="Arial" w:cs="Arial" w:ascii="Arial" w:hAnsi="Arial"/>
          <w:color w:val="auto"/>
          <w:sz w:val="22"/>
          <w:szCs w:val="22"/>
        </w:rPr>
        <w:t xml:space="preserve"> - Resguardada a disposição do subitem precedente, a fiscalização representará o </w:t>
      </w:r>
      <w:r>
        <w:rPr>
          <w:rFonts w:eastAsia="Arial" w:cs="Arial" w:ascii="Arial" w:hAnsi="Arial"/>
          <w:b/>
          <w:color w:val="auto"/>
          <w:sz w:val="22"/>
          <w:szCs w:val="22"/>
        </w:rPr>
        <w:t>CONTRATANTE</w:t>
      </w:r>
      <w:r>
        <w:rPr>
          <w:rFonts w:eastAsia="Arial" w:cs="Arial" w:ascii="Arial" w:hAnsi="Arial"/>
          <w:color w:val="auto"/>
          <w:sz w:val="22"/>
          <w:szCs w:val="22"/>
        </w:rPr>
        <w:t xml:space="preserve"> e terá as seguintes atribuições:</w:t>
      </w:r>
    </w:p>
    <w:p>
      <w:pPr>
        <w:pStyle w:val="Normal"/>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Receber o produto, verificando a sua conformidade com as especificações estabelecidas e da proposta, principalmente quanto ao modelo ofertado, quantidade, marca (se for o caso), etc; </w:t>
      </w:r>
    </w:p>
    <w:p>
      <w:pPr>
        <w:pStyle w:val="Normal"/>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Assegurar à empresa vencedora acesso as suas dependências, por ocasião da entrega da mercadoria;</w:t>
      </w:r>
    </w:p>
    <w:p>
      <w:pPr>
        <w:pStyle w:val="Normal"/>
        <w:spacing w:lineRule="auto" w:line="360"/>
        <w:jc w:val="both"/>
        <w:rPr>
          <w:color w:val="auto"/>
        </w:rPr>
      </w:pPr>
      <w:r>
        <w:rPr>
          <w:rFonts w:eastAsia="Arial" w:cs="Arial" w:ascii="Arial" w:hAnsi="Arial"/>
          <w:b/>
          <w:color w:val="auto"/>
          <w:sz w:val="22"/>
          <w:szCs w:val="22"/>
        </w:rPr>
        <w:t>c)</w:t>
      </w:r>
      <w:r>
        <w:rPr>
          <w:rFonts w:eastAsia="Arial" w:cs="Arial" w:ascii="Arial" w:hAnsi="Arial"/>
          <w:color w:val="auto"/>
          <w:sz w:val="22"/>
          <w:szCs w:val="22"/>
        </w:rPr>
        <w:t xml:space="preserve"> Agir e decidir em nome do </w:t>
      </w:r>
      <w:r>
        <w:rPr>
          <w:rFonts w:eastAsia="Arial" w:cs="Arial" w:ascii="Arial" w:hAnsi="Arial"/>
          <w:b/>
          <w:color w:val="auto"/>
          <w:sz w:val="22"/>
          <w:szCs w:val="22"/>
        </w:rPr>
        <w:t>CONTRATANTE</w:t>
      </w:r>
      <w:r>
        <w:rPr>
          <w:rFonts w:eastAsia="Arial" w:cs="Arial" w:ascii="Arial" w:hAnsi="Arial"/>
          <w:color w:val="auto"/>
          <w:sz w:val="22"/>
          <w:szCs w:val="22"/>
        </w:rPr>
        <w:t>, inclusive, para rejeitar a(s) mercadoria(s) fornecida(s) em desacordo com as especificações exigidas;</w:t>
      </w:r>
    </w:p>
    <w:p>
      <w:pPr>
        <w:pStyle w:val="Normal"/>
        <w:spacing w:lineRule="auto" w:line="360"/>
        <w:jc w:val="both"/>
        <w:rPr>
          <w:color w:val="auto"/>
        </w:rPr>
      </w:pPr>
      <w:r>
        <w:rPr>
          <w:rFonts w:eastAsia="Arial" w:cs="Arial" w:ascii="Arial" w:hAnsi="Arial"/>
          <w:b/>
          <w:color w:val="auto"/>
          <w:sz w:val="22"/>
          <w:szCs w:val="22"/>
        </w:rPr>
        <w:t>d)</w:t>
      </w:r>
      <w:r>
        <w:rPr>
          <w:rFonts w:eastAsia="Arial" w:cs="Arial" w:ascii="Arial" w:hAnsi="Arial"/>
          <w:color w:val="auto"/>
          <w:sz w:val="22"/>
          <w:szCs w:val="22"/>
        </w:rPr>
        <w:t xml:space="preserve"> Coletar, se julgar necessário, amostra(s) de todos os itens, para realização de análise;</w:t>
      </w:r>
    </w:p>
    <w:p>
      <w:pPr>
        <w:pStyle w:val="Normal"/>
        <w:spacing w:lineRule="auto" w:line="360"/>
        <w:jc w:val="both"/>
        <w:rPr>
          <w:color w:val="auto"/>
        </w:rPr>
      </w:pPr>
      <w:r>
        <w:rPr>
          <w:rFonts w:eastAsia="Arial" w:cs="Arial" w:ascii="Arial" w:hAnsi="Arial"/>
          <w:b/>
          <w:color w:val="auto"/>
          <w:sz w:val="22"/>
          <w:szCs w:val="22"/>
        </w:rPr>
        <w:t>e)</w:t>
      </w:r>
      <w:r>
        <w:rPr>
          <w:rFonts w:eastAsia="Arial" w:cs="Arial" w:ascii="Arial" w:hAnsi="Arial"/>
          <w:color w:val="auto"/>
          <w:sz w:val="22"/>
          <w:szCs w:val="22"/>
        </w:rPr>
        <w:t xml:space="preserve"> Comunicar oficialmente à empresa vencedora quanto à rejeição na entrega do(s) produto(s), devidamente motivado e justificado ;</w:t>
      </w:r>
    </w:p>
    <w:p>
      <w:pPr>
        <w:pStyle w:val="Normal"/>
        <w:spacing w:lineRule="auto" w:line="360"/>
        <w:jc w:val="both"/>
        <w:rPr>
          <w:color w:val="auto"/>
        </w:rPr>
      </w:pPr>
      <w:r>
        <w:rPr>
          <w:rFonts w:eastAsia="Arial" w:cs="Arial" w:ascii="Arial" w:hAnsi="Arial"/>
          <w:b/>
          <w:color w:val="auto"/>
          <w:sz w:val="22"/>
          <w:szCs w:val="22"/>
        </w:rPr>
        <w:t>f)</w:t>
      </w:r>
      <w:r>
        <w:rPr>
          <w:rFonts w:eastAsia="Arial" w:cs="Arial" w:ascii="Arial" w:hAnsi="Arial"/>
          <w:color w:val="auto"/>
          <w:sz w:val="22"/>
          <w:szCs w:val="22"/>
        </w:rPr>
        <w:t xml:space="preserve"> Certificar a Nota Fiscal correspondente somente após a verificação da perfeita compatibilidade entre o(s) produto(s) entregue(s) ao que foi solicitado;</w:t>
      </w:r>
    </w:p>
    <w:p>
      <w:pPr>
        <w:pStyle w:val="Normal"/>
        <w:spacing w:lineRule="auto" w:line="360"/>
        <w:jc w:val="both"/>
        <w:rPr>
          <w:color w:val="auto"/>
        </w:rPr>
      </w:pPr>
      <w:r>
        <w:rPr>
          <w:rFonts w:eastAsia="Arial" w:cs="Arial" w:ascii="Arial" w:hAnsi="Arial"/>
          <w:b/>
          <w:color w:val="auto"/>
          <w:sz w:val="22"/>
          <w:szCs w:val="22"/>
        </w:rPr>
        <w:t>g)</w:t>
      </w:r>
      <w:r>
        <w:rPr>
          <w:rFonts w:eastAsia="Arial" w:cs="Arial" w:ascii="Arial" w:hAnsi="Arial"/>
          <w:color w:val="auto"/>
          <w:sz w:val="22"/>
          <w:szCs w:val="22"/>
        </w:rPr>
        <w:t xml:space="preserve"> Exigir da empresa vencedora o cumprimento rigoroso das obrigações assumidas;</w:t>
      </w:r>
    </w:p>
    <w:p>
      <w:pPr>
        <w:pStyle w:val="Normal"/>
        <w:spacing w:lineRule="auto" w:line="360"/>
        <w:jc w:val="both"/>
        <w:rPr>
          <w:color w:val="auto"/>
        </w:rPr>
      </w:pPr>
      <w:r>
        <w:rPr>
          <w:rFonts w:eastAsia="Arial" w:cs="Arial" w:ascii="Arial" w:hAnsi="Arial"/>
          <w:b/>
          <w:color w:val="auto"/>
          <w:sz w:val="22"/>
          <w:szCs w:val="22"/>
        </w:rPr>
        <w:t>h)</w:t>
      </w:r>
      <w:r>
        <w:rPr>
          <w:rFonts w:eastAsia="Arial" w:cs="Arial" w:ascii="Arial" w:hAnsi="Arial"/>
          <w:color w:val="auto"/>
          <w:sz w:val="22"/>
          <w:szCs w:val="22"/>
        </w:rPr>
        <w:t xml:space="preserve"> Sustar o pagamento de faturas no caso de inobservância, pela empresa vencedora, de condições previstas neste instrumento;</w:t>
      </w:r>
    </w:p>
    <w:p>
      <w:pPr>
        <w:pStyle w:val="Normal"/>
        <w:spacing w:lineRule="auto" w:line="360"/>
        <w:jc w:val="both"/>
        <w:rPr>
          <w:color w:val="auto"/>
        </w:rPr>
      </w:pPr>
      <w:r>
        <w:rPr>
          <w:rFonts w:eastAsia="Arial" w:cs="Arial" w:ascii="Arial" w:hAnsi="Arial"/>
          <w:b/>
          <w:color w:val="auto"/>
          <w:sz w:val="22"/>
          <w:szCs w:val="22"/>
        </w:rPr>
        <w:t>i)</w:t>
      </w:r>
      <w:r>
        <w:rPr>
          <w:rFonts w:eastAsia="Arial" w:cs="Arial" w:ascii="Arial" w:hAnsi="Arial"/>
          <w:color w:val="auto"/>
          <w:sz w:val="22"/>
          <w:szCs w:val="22"/>
        </w:rPr>
        <w:t xml:space="preserve"> Transmitir ordens e instruções, verbais ou escritas, à empresa vencedora, no tocante ao fiel cumprimento do disposto neste instrumento;</w:t>
      </w:r>
    </w:p>
    <w:p>
      <w:pPr>
        <w:pStyle w:val="Normal"/>
        <w:spacing w:lineRule="auto" w:line="360"/>
        <w:jc w:val="both"/>
        <w:rPr>
          <w:color w:val="auto"/>
        </w:rPr>
      </w:pPr>
      <w:r>
        <w:rPr>
          <w:rFonts w:eastAsia="Arial" w:cs="Arial" w:ascii="Arial" w:hAnsi="Arial"/>
          <w:b/>
          <w:color w:val="auto"/>
          <w:sz w:val="22"/>
          <w:szCs w:val="22"/>
        </w:rPr>
        <w:t>j)</w:t>
      </w:r>
      <w:r>
        <w:rPr>
          <w:rFonts w:eastAsia="Arial" w:cs="Arial" w:ascii="Arial" w:hAnsi="Arial"/>
          <w:color w:val="auto"/>
          <w:sz w:val="22"/>
          <w:szCs w:val="22"/>
        </w:rPr>
        <w:t xml:space="preserve"> Solicitar a aplicação, nos termos deste instrumento, de multa(s) à empresa vencedora;</w:t>
      </w:r>
    </w:p>
    <w:p>
      <w:pPr>
        <w:pStyle w:val="Normal"/>
        <w:spacing w:lineRule="auto" w:line="360"/>
        <w:jc w:val="both"/>
        <w:rPr>
          <w:color w:val="auto"/>
        </w:rPr>
      </w:pPr>
      <w:r>
        <w:rPr>
          <w:rFonts w:eastAsia="Arial" w:cs="Arial" w:ascii="Arial" w:hAnsi="Arial"/>
          <w:b/>
          <w:color w:val="auto"/>
          <w:sz w:val="22"/>
          <w:szCs w:val="22"/>
        </w:rPr>
        <w:t>k)</w:t>
      </w:r>
      <w:r>
        <w:rPr>
          <w:rFonts w:eastAsia="Arial" w:cs="Arial" w:ascii="Arial" w:hAnsi="Arial"/>
          <w:color w:val="auto"/>
          <w:sz w:val="22"/>
          <w:szCs w:val="22"/>
        </w:rPr>
        <w:t xml:space="preserve"> Instruir o(s) recurso(s) da empresa vencedora no tocante ao pedido de cancelamento de multa(s), quando essa discordar do </w:t>
      </w:r>
      <w:r>
        <w:rPr>
          <w:rFonts w:eastAsia="Arial" w:cs="Arial" w:ascii="Arial" w:hAnsi="Arial"/>
          <w:b/>
          <w:color w:val="auto"/>
          <w:sz w:val="22"/>
          <w:szCs w:val="22"/>
        </w:rPr>
        <w:t>CONTRATANTE;</w:t>
      </w:r>
    </w:p>
    <w:p>
      <w:pPr>
        <w:pStyle w:val="Normal"/>
        <w:spacing w:lineRule="auto" w:line="360"/>
        <w:jc w:val="both"/>
        <w:rPr>
          <w:color w:val="auto"/>
        </w:rPr>
      </w:pPr>
      <w:r>
        <w:rPr>
          <w:rFonts w:eastAsia="Arial" w:cs="Arial" w:ascii="Arial" w:hAnsi="Arial"/>
          <w:b/>
          <w:color w:val="auto"/>
          <w:sz w:val="22"/>
          <w:szCs w:val="22"/>
        </w:rPr>
        <w:t>l)</w:t>
      </w:r>
      <w:r>
        <w:rPr>
          <w:rFonts w:eastAsia="Arial" w:cs="Arial" w:ascii="Arial" w:hAnsi="Arial"/>
          <w:color w:val="auto"/>
          <w:sz w:val="22"/>
          <w:szCs w:val="22"/>
        </w:rPr>
        <w:t xml:space="preserve"> No exercício de suas atribuições fica assegurado à fiscalização, sem restrições de qualquer natureza, o direito de acesso a todos os elementos de informações relacionados com o objeto deste instrumento, pelo mesmos julgados necessários.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 DO PAGAMENTO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10.1</w:t>
      </w:r>
      <w:r>
        <w:rPr>
          <w:rFonts w:eastAsia="Arial" w:cs="Arial" w:ascii="Arial" w:hAnsi="Arial"/>
          <w:color w:val="auto"/>
          <w:sz w:val="22"/>
          <w:szCs w:val="22"/>
        </w:rPr>
        <w:t xml:space="preserve"> - O pagamento pela efetiva entrega do objeto deste instrumento será efetuado até o </w:t>
      </w:r>
      <w:r>
        <w:rPr>
          <w:rFonts w:cs="Arial" w:ascii="Arial" w:hAnsi="Arial"/>
          <w:color w:val="auto"/>
          <w:sz w:val="22"/>
          <w:szCs w:val="22"/>
        </w:rPr>
        <w:t xml:space="preserve">     </w:t>
      </w:r>
      <w:r>
        <w:rPr>
          <w:rFonts w:eastAsia="Arial" w:cs="Arial" w:ascii="Arial" w:hAnsi="Arial"/>
          <w:color w:val="auto"/>
          <w:sz w:val="22"/>
          <w:szCs w:val="22"/>
        </w:rPr>
        <w:t xml:space="preserve">30º (trigésimo) dia após a apresentação documentos fiscais, à </w:t>
      </w:r>
      <w:r>
        <w:rPr>
          <w:rFonts w:eastAsia="Arial" w:cs="Arial" w:ascii="Arial" w:hAnsi="Arial"/>
          <w:b/>
          <w:color w:val="auto"/>
          <w:sz w:val="22"/>
          <w:szCs w:val="22"/>
        </w:rPr>
        <w:t>CONTRATADA</w:t>
      </w:r>
      <w:r>
        <w:rPr>
          <w:rFonts w:eastAsia="Arial" w:cs="Arial" w:ascii="Arial" w:hAnsi="Arial"/>
          <w:color w:val="auto"/>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10.1.1 -</w:t>
      </w:r>
      <w:r>
        <w:rPr>
          <w:rFonts w:eastAsia="Arial" w:cs="Arial" w:ascii="Arial" w:hAnsi="Arial"/>
          <w:color w:val="auto"/>
          <w:sz w:val="22"/>
          <w:szCs w:val="22"/>
        </w:rPr>
        <w:t xml:space="preserve"> A Nota Fiscal correspondente deverá ser entregue pela </w:t>
      </w:r>
      <w:r>
        <w:rPr>
          <w:rFonts w:eastAsia="Arial" w:cs="Arial" w:ascii="Arial" w:hAnsi="Arial"/>
          <w:b/>
          <w:color w:val="auto"/>
          <w:sz w:val="22"/>
          <w:szCs w:val="22"/>
        </w:rPr>
        <w:t>CONTRATADA</w:t>
      </w:r>
      <w:r>
        <w:rPr>
          <w:rFonts w:eastAsia="Arial" w:cs="Arial" w:ascii="Arial" w:hAnsi="Arial"/>
          <w:color w:val="auto"/>
          <w:sz w:val="22"/>
          <w:szCs w:val="22"/>
        </w:rPr>
        <w:t xml:space="preserve"> diretamente ao responsável pela fiscalização que somente atestará o recebimento e liberará a Nota Fiscal para pagamento quando cumpridas, pela </w:t>
      </w:r>
      <w:r>
        <w:rPr>
          <w:rFonts w:eastAsia="Arial" w:cs="Arial" w:ascii="Arial" w:hAnsi="Arial"/>
          <w:b/>
          <w:color w:val="auto"/>
          <w:sz w:val="22"/>
          <w:szCs w:val="22"/>
        </w:rPr>
        <w:t>CONTRATADA</w:t>
      </w:r>
      <w:r>
        <w:rPr>
          <w:rFonts w:eastAsia="Arial" w:cs="Arial" w:ascii="Arial" w:hAnsi="Arial"/>
          <w:color w:val="auto"/>
          <w:sz w:val="22"/>
          <w:szCs w:val="22"/>
        </w:rPr>
        <w:t>, todas as condições pactuadas.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10.1.2 -</w:t>
      </w:r>
      <w:r>
        <w:rPr>
          <w:rFonts w:eastAsia="Arial" w:cs="Arial" w:ascii="Arial" w:hAnsi="Arial"/>
          <w:color w:val="auto"/>
          <w:sz w:val="22"/>
          <w:szCs w:val="22"/>
        </w:rPr>
        <w:t xml:space="preserve"> A contagem para o 30º (trigésimo) dia, previsto no </w:t>
      </w:r>
      <w:r>
        <w:rPr>
          <w:rFonts w:eastAsia="Arial" w:cs="Arial" w:ascii="Arial" w:hAnsi="Arial"/>
          <w:i/>
          <w:color w:val="auto"/>
          <w:sz w:val="22"/>
          <w:szCs w:val="22"/>
        </w:rPr>
        <w:t>caput</w:t>
      </w:r>
      <w:r>
        <w:rPr>
          <w:rFonts w:eastAsia="Arial" w:cs="Arial" w:ascii="Arial" w:hAnsi="Arial"/>
          <w:color w:val="auto"/>
          <w:sz w:val="22"/>
          <w:szCs w:val="22"/>
        </w:rPr>
        <w:t>, só iniciar-se-á após a aceitação e liquidação do objeto pela fiscalização do Município de Araçuaí e cumprimento pela empresa de todas as condições pactuadas.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10.1.3 -</w:t>
      </w:r>
      <w:r>
        <w:rPr>
          <w:rFonts w:eastAsia="Arial" w:cs="Arial" w:ascii="Arial" w:hAnsi="Arial"/>
          <w:color w:val="auto"/>
          <w:sz w:val="22"/>
          <w:szCs w:val="22"/>
        </w:rPr>
        <w:t xml:space="preserve"> Para execução do pagamento, </w:t>
      </w:r>
      <w:r>
        <w:rPr>
          <w:rFonts w:eastAsia="Arial" w:cs="Arial" w:ascii="Arial" w:hAnsi="Arial"/>
          <w:b/>
          <w:color w:val="auto"/>
          <w:sz w:val="22"/>
          <w:szCs w:val="22"/>
        </w:rPr>
        <w:t>CONTRATADA</w:t>
      </w:r>
      <w:r>
        <w:rPr>
          <w:rFonts w:eastAsia="Arial" w:cs="Arial" w:ascii="Arial" w:hAnsi="Arial"/>
          <w:color w:val="auto"/>
          <w:sz w:val="22"/>
          <w:szCs w:val="22"/>
        </w:rPr>
        <w:t xml:space="preserve"> deverá fazer constar na Nota Fiscal correspondente, emitida sem rasura, em letra bem legível, em nome do Município de Araçuaí, informando o número de sua conta corrente e agência Bancária, bem como o número da Ordem de Compra.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10.1.4 -</w:t>
      </w:r>
      <w:r>
        <w:rPr>
          <w:rFonts w:eastAsia="Arial" w:cs="Arial" w:ascii="Arial" w:hAnsi="Arial"/>
          <w:color w:val="auto"/>
          <w:sz w:val="22"/>
          <w:szCs w:val="22"/>
        </w:rPr>
        <w:t xml:space="preserve"> Havendo erro na Nota Fiscal ou circunstâncias que impeçam a liquidação da despesa, aquela será devolvida à </w:t>
      </w:r>
      <w:r>
        <w:rPr>
          <w:rFonts w:eastAsia="Arial" w:cs="Arial" w:ascii="Arial" w:hAnsi="Arial"/>
          <w:b/>
          <w:color w:val="auto"/>
          <w:sz w:val="22"/>
          <w:szCs w:val="22"/>
        </w:rPr>
        <w:t>CONTRATADA</w:t>
      </w:r>
      <w:r>
        <w:rPr>
          <w:rFonts w:eastAsia="Arial" w:cs="Arial" w:ascii="Arial" w:hAnsi="Arial"/>
          <w:color w:val="auto"/>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Araçuaí.</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10.2 -</w:t>
      </w:r>
      <w:r>
        <w:rPr>
          <w:rFonts w:eastAsia="Arial" w:cs="Arial" w:ascii="Arial" w:hAnsi="Arial"/>
          <w:color w:val="auto"/>
          <w:sz w:val="22"/>
          <w:szCs w:val="22"/>
        </w:rPr>
        <w:t xml:space="preserve"> A critério da Administração poderão ser descontados dos pagamentos devidos, os valores para cobrir despesas com multas, indenizações a terceiros ou outras de responsabilidade da </w:t>
      </w:r>
      <w:r>
        <w:rPr>
          <w:rFonts w:eastAsia="Arial" w:cs="Arial" w:ascii="Arial" w:hAnsi="Arial"/>
          <w:b/>
          <w:color w:val="auto"/>
          <w:sz w:val="22"/>
          <w:szCs w:val="22"/>
        </w:rPr>
        <w:t>CONTRATADA</w:t>
      </w:r>
      <w:r>
        <w:rPr>
          <w:rFonts w:eastAsia="Arial" w:cs="Arial" w:ascii="Arial" w:hAnsi="Arial"/>
          <w:color w:val="auto"/>
          <w:sz w:val="22"/>
          <w:szCs w:val="22"/>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10.3 –</w:t>
      </w:r>
      <w:r>
        <w:rPr>
          <w:rFonts w:eastAsia="Arial" w:cs="Arial" w:ascii="Arial" w:hAnsi="Arial"/>
          <w:color w:val="auto"/>
          <w:sz w:val="22"/>
          <w:szCs w:val="22"/>
        </w:rPr>
        <w:t xml:space="preserve"> O Município de Araçuaí -MG poderá sustar todo e qualquer pagamento do preço ou suas parcelas de qualquer fatura apresentada pela </w:t>
      </w:r>
      <w:r>
        <w:rPr>
          <w:rFonts w:eastAsia="Arial" w:cs="Arial" w:ascii="Arial" w:hAnsi="Arial"/>
          <w:b/>
          <w:color w:val="auto"/>
          <w:sz w:val="22"/>
          <w:szCs w:val="22"/>
        </w:rPr>
        <w:t>CONTRATADA</w:t>
      </w:r>
      <w:r>
        <w:rPr>
          <w:rFonts w:eastAsia="Arial" w:cs="Arial" w:ascii="Arial" w:hAnsi="Arial"/>
          <w:color w:val="auto"/>
          <w:sz w:val="22"/>
          <w:szCs w:val="22"/>
        </w:rPr>
        <w:t xml:space="preserve"> caso verificadas uma ou mais das hipóteses abaixo e enquanto perdurar o ato ou fato sem direito a qualquer reajustamento complementar ou acréscimo, conforme enunciado: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A </w:t>
      </w:r>
      <w:r>
        <w:rPr>
          <w:rFonts w:eastAsia="Arial" w:cs="Arial" w:ascii="Arial" w:hAnsi="Arial"/>
          <w:b/>
          <w:color w:val="auto"/>
          <w:sz w:val="22"/>
          <w:szCs w:val="22"/>
        </w:rPr>
        <w:t>CONTRATADA</w:t>
      </w:r>
      <w:r>
        <w:rPr>
          <w:rFonts w:eastAsia="Arial" w:cs="Arial" w:ascii="Arial" w:hAnsi="Arial"/>
          <w:color w:val="auto"/>
          <w:sz w:val="22"/>
          <w:szCs w:val="22"/>
        </w:rPr>
        <w:t xml:space="preserve"> deixe de acatar quaisquer determinações exaradas pelo órgão fiscalizador do Município de Araçuaí -MG.</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Não cumprimento de obrigação assumida, hipótese em que o pagamento ficará retido até que a </w:t>
      </w:r>
      <w:r>
        <w:rPr>
          <w:rFonts w:eastAsia="Arial" w:cs="Arial" w:ascii="Arial" w:hAnsi="Arial"/>
          <w:b/>
          <w:color w:val="auto"/>
          <w:sz w:val="22"/>
          <w:szCs w:val="22"/>
        </w:rPr>
        <w:t>CONTRATADA</w:t>
      </w:r>
      <w:r>
        <w:rPr>
          <w:rFonts w:eastAsia="Arial" w:cs="Arial" w:ascii="Arial" w:hAnsi="Arial"/>
          <w:color w:val="auto"/>
          <w:sz w:val="22"/>
          <w:szCs w:val="22"/>
        </w:rPr>
        <w:t xml:space="preserve"> atenda à cláusula infringida.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c)</w:t>
      </w:r>
      <w:r>
        <w:rPr>
          <w:rFonts w:eastAsia="Arial" w:cs="Arial" w:ascii="Arial" w:hAnsi="Arial"/>
          <w:color w:val="auto"/>
          <w:sz w:val="22"/>
          <w:szCs w:val="22"/>
        </w:rPr>
        <w:t xml:space="preserve"> A </w:t>
      </w:r>
      <w:r>
        <w:rPr>
          <w:rFonts w:eastAsia="Arial" w:cs="Arial" w:ascii="Arial" w:hAnsi="Arial"/>
          <w:b/>
          <w:color w:val="auto"/>
          <w:sz w:val="22"/>
          <w:szCs w:val="22"/>
        </w:rPr>
        <w:t>CONTRATADA</w:t>
      </w:r>
      <w:r>
        <w:rPr>
          <w:rFonts w:eastAsia="Arial" w:cs="Arial" w:ascii="Arial" w:hAnsi="Arial"/>
          <w:color w:val="auto"/>
          <w:sz w:val="22"/>
          <w:szCs w:val="22"/>
        </w:rPr>
        <w:t xml:space="preserve"> retarde indevidamente a execução do objeto ou paralise os mesmos por prazo que venha a prejudicar as atividades do Município de Araçuaí -MG.</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d)</w:t>
      </w:r>
      <w:r>
        <w:rPr>
          <w:rFonts w:eastAsia="Arial" w:cs="Arial" w:ascii="Arial" w:hAnsi="Arial"/>
          <w:color w:val="auto"/>
          <w:sz w:val="22"/>
          <w:szCs w:val="22"/>
        </w:rPr>
        <w:t xml:space="preserve"> Débito da </w:t>
      </w:r>
      <w:r>
        <w:rPr>
          <w:rFonts w:eastAsia="Arial" w:cs="Arial" w:ascii="Arial" w:hAnsi="Arial"/>
          <w:b/>
          <w:color w:val="auto"/>
          <w:sz w:val="22"/>
          <w:szCs w:val="22"/>
        </w:rPr>
        <w:t>CONTRATADA</w:t>
      </w:r>
      <w:r>
        <w:rPr>
          <w:rFonts w:eastAsia="Arial" w:cs="Arial" w:ascii="Arial" w:hAnsi="Arial"/>
          <w:color w:val="auto"/>
          <w:sz w:val="22"/>
          <w:szCs w:val="22"/>
        </w:rPr>
        <w:t xml:space="preserve"> para com o Município de Araçuaí -MG quer proveniente da execução deste instrumento, quer de obrigações de outros contratos.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e)</w:t>
      </w:r>
      <w:r>
        <w:rPr>
          <w:rFonts w:eastAsia="Arial" w:cs="Arial" w:ascii="Arial" w:hAnsi="Arial"/>
          <w:color w:val="auto"/>
          <w:sz w:val="22"/>
          <w:szCs w:val="22"/>
        </w:rPr>
        <w:t xml:space="preserve"> Em qualquer das hipóteses previstas nos parágrafos acima, ou de infração as demais cláusulas e obrigações estabelecidas neste instrumento.</w:t>
      </w:r>
    </w:p>
    <w:p>
      <w:pPr>
        <w:pStyle w:val="Normal"/>
        <w:spacing w:lineRule="auto" w:line="360"/>
        <w:jc w:val="both"/>
        <w:rPr>
          <w:color w:val="auto"/>
        </w:rPr>
      </w:pPr>
      <w:r>
        <w:rPr>
          <w:rFonts w:eastAsia="Arial" w:cs="Arial" w:ascii="Arial" w:hAnsi="Arial"/>
          <w:b/>
          <w:color w:val="auto"/>
          <w:sz w:val="22"/>
          <w:szCs w:val="22"/>
        </w:rPr>
        <w:t>10.4</w:t>
      </w:r>
      <w:r>
        <w:rPr>
          <w:rFonts w:eastAsia="Arial" w:cs="Arial" w:ascii="Arial" w:hAnsi="Arial"/>
          <w:color w:val="auto"/>
          <w:sz w:val="22"/>
          <w:szCs w:val="22"/>
        </w:rPr>
        <w:t xml:space="preserve"> - A despesa decorrente desta licitação correrá por conta das dotações do ano corrente e dos anos vindouros.</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PRIMEIRA – DO RECEBIMENTO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11.1 – O recebimento do objeto se dará da seguinte forma:</w:t>
      </w:r>
    </w:p>
    <w:p>
      <w:pPr>
        <w:pStyle w:val="Normal"/>
        <w:spacing w:lineRule="auto" w:line="360"/>
        <w:jc w:val="both"/>
        <w:rPr>
          <w:color w:val="auto"/>
        </w:rPr>
      </w:pPr>
      <w:r>
        <w:rPr>
          <w:rFonts w:eastAsia="Arial" w:cs="Arial" w:ascii="Arial" w:hAnsi="Arial"/>
          <w:b/>
          <w:color w:val="auto"/>
          <w:sz w:val="22"/>
          <w:szCs w:val="22"/>
        </w:rPr>
        <w:t>a)</w:t>
      </w:r>
      <w:r>
        <w:rPr>
          <w:rFonts w:eastAsia="Arial" w:cs="Arial" w:ascii="Arial" w:hAnsi="Arial"/>
          <w:color w:val="auto"/>
          <w:sz w:val="22"/>
          <w:szCs w:val="22"/>
        </w:rPr>
        <w:t xml:space="preserve"> provisoriamente, de forma sumária, pelo responsável pela fiscalização, com verificação posterior da conformidade do material com as exigências contratuais;</w:t>
      </w:r>
    </w:p>
    <w:p>
      <w:pPr>
        <w:pStyle w:val="Normal"/>
        <w:spacing w:lineRule="auto" w:line="360"/>
        <w:jc w:val="both"/>
        <w:rPr>
          <w:color w:val="auto"/>
        </w:rPr>
      </w:pPr>
      <w:bookmarkStart w:id="12" w:name="bookmark=id.17dp8vu"/>
      <w:bookmarkEnd w:id="12"/>
      <w:r>
        <w:rPr>
          <w:rFonts w:eastAsia="Arial" w:cs="Arial" w:ascii="Arial" w:hAnsi="Arial"/>
          <w:b/>
          <w:color w:val="auto"/>
          <w:sz w:val="22"/>
          <w:szCs w:val="22"/>
        </w:rPr>
        <w:t>b)</w:t>
      </w:r>
      <w:r>
        <w:rPr>
          <w:rFonts w:eastAsia="Arial" w:cs="Arial" w:ascii="Arial" w:hAnsi="Arial"/>
          <w:color w:val="auto"/>
          <w:sz w:val="22"/>
          <w:szCs w:val="22"/>
        </w:rPr>
        <w:t xml:space="preserve"> definitivamente, pelo gestor do contrato ou da comissão designada pela autoridade competente, mediante termo detalhado que comprove o atendimento das exigências contratuais.</w:t>
      </w:r>
    </w:p>
    <w:p>
      <w:pPr>
        <w:pStyle w:val="Normal"/>
        <w:spacing w:lineRule="auto" w:line="360"/>
        <w:jc w:val="both"/>
        <w:rPr>
          <w:rFonts w:ascii="Arial" w:hAnsi="Arial" w:cs="Arial"/>
          <w:color w:val="auto"/>
          <w:sz w:val="22"/>
          <w:szCs w:val="22"/>
        </w:rPr>
      </w:pPr>
      <w:r>
        <w:rPr>
          <w:rFonts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SEGUNDA – DO REAJUSTAMENTO</w:t>
      </w:r>
    </w:p>
    <w:p>
      <w:pPr>
        <w:pStyle w:val="Normal"/>
        <w:spacing w:lineRule="auto" w:line="360"/>
        <w:jc w:val="both"/>
        <w:rPr>
          <w:color w:val="auto"/>
        </w:rPr>
      </w:pPr>
      <w:r>
        <w:rPr>
          <w:rFonts w:eastAsia="Arial" w:cs="Arial" w:ascii="Arial" w:hAnsi="Arial"/>
          <w:b/>
          <w:color w:val="auto"/>
          <w:sz w:val="22"/>
          <w:szCs w:val="22"/>
        </w:rPr>
        <w:t>12.1 -</w:t>
      </w:r>
      <w:r>
        <w:rPr>
          <w:rFonts w:eastAsia="Arial" w:cs="Arial" w:ascii="Arial" w:hAnsi="Arial"/>
          <w:color w:val="auto"/>
          <w:sz w:val="22"/>
          <w:szCs w:val="22"/>
        </w:rPr>
        <w:t xml:space="preserve"> Conforme as normas financeiras vigentes, não haverá reajustamento de preços, no prazo inferior a 01 (um) ano, podendo após o 13º mês o preço ser reajustado através do índice IGPM publicado pela FGV.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TERCEIRA – DO ACRÉSCIMO E SUPRESSÃO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13.1 -</w:t>
      </w:r>
      <w:r>
        <w:rPr>
          <w:rFonts w:eastAsia="Arial" w:cs="Arial" w:ascii="Arial" w:hAnsi="Arial"/>
          <w:color w:val="auto"/>
          <w:sz w:val="22"/>
          <w:szCs w:val="22"/>
        </w:rPr>
        <w:t xml:space="preserve"> É vedado efetuar acréscimos nos quantitativos fixados pela Ata de Registro de Preços, inclusive o acréscimo de que trata o art. 125 da Lei nº 14.133/21.</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QUARTA – DA ALTERAÇÃO OU ATUALIZAÇÃO DOS PREÇOS REGISTRADOS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 xml:space="preserve">14.1 - </w:t>
      </w:r>
      <w:r>
        <w:rPr>
          <w:rFonts w:eastAsia="Arial" w:cs="Arial" w:ascii="Arial" w:hAnsi="Arial"/>
          <w:color w:val="auto"/>
          <w:sz w:val="22"/>
          <w:szCs w:val="22"/>
        </w:rPr>
        <w:t>Os preços registrados poderão ser alterados ou atualizados em decorrência de eventual redução dos preços praticados no mercado ou de fato que eleve o custo dos bens, nas seguintes situações:</w:t>
      </w:r>
    </w:p>
    <w:p>
      <w:pPr>
        <w:pStyle w:val="Normal"/>
        <w:spacing w:lineRule="auto" w:line="360"/>
        <w:jc w:val="both"/>
        <w:rPr/>
      </w:pPr>
      <w:r>
        <w:rPr>
          <w:rFonts w:eastAsia="Arial" w:cs="Arial" w:ascii="Arial" w:hAnsi="Arial"/>
          <w:b/>
          <w:color w:val="auto"/>
          <w:sz w:val="22"/>
          <w:szCs w:val="22"/>
        </w:rPr>
        <w:t>a)</w:t>
      </w:r>
      <w:r>
        <w:rPr>
          <w:rFonts w:eastAsia="Arial" w:cs="Arial" w:ascii="Arial" w:hAnsi="Arial"/>
          <w:color w:val="auto"/>
          <w:sz w:val="22"/>
          <w:szCs w:val="22"/>
        </w:rPr>
        <w:t xml:space="preserve"> em caso de força maior, caso fortuito ou fato do príncipe ou em decorrência de fatos imprevisíveis ou previsíveis de consequências incalculáveis, que inviabilizem a execução da ata tal como pactuada, nos termos do disposto na a</w:t>
      </w:r>
      <w:r>
        <w:fldChar w:fldCharType="begin"/>
      </w:r>
      <w:r>
        <w:rPr>
          <w:sz w:val="22"/>
          <w:u w:val="single"/>
          <w:szCs w:val="22"/>
          <w:rFonts w:eastAsia="Arial" w:cs="Arial" w:ascii="Arial" w:hAnsi="Arial"/>
          <w:color w:val="auto"/>
        </w:rPr>
        <w:instrText> HYPERLINK "https://www.planalto.gov.br/ccivil_03/_Ato2019-2022/2021/Lei/L14133.htm" \l "art124iid"</w:instrText>
      </w:r>
      <w:r>
        <w:rPr>
          <w:sz w:val="22"/>
          <w:u w:val="single"/>
          <w:szCs w:val="22"/>
          <w:rFonts w:eastAsia="Arial" w:cs="Arial" w:ascii="Arial" w:hAnsi="Arial"/>
          <w:color w:val="auto"/>
        </w:rPr>
        <w:fldChar w:fldCharType="separate"/>
      </w:r>
      <w:r>
        <w:rPr>
          <w:rFonts w:eastAsia="Arial" w:cs="Arial" w:ascii="Arial" w:hAnsi="Arial"/>
          <w:color w:val="auto"/>
          <w:sz w:val="22"/>
          <w:szCs w:val="22"/>
          <w:u w:val="single"/>
        </w:rPr>
        <w:t>línea “d” do inciso II do </w:t>
      </w:r>
      <w:r>
        <w:rPr>
          <w:sz w:val="22"/>
          <w:u w:val="single"/>
          <w:szCs w:val="22"/>
          <w:rFonts w:eastAsia="Arial" w:cs="Arial" w:ascii="Arial" w:hAnsi="Arial"/>
          <w:color w:val="auto"/>
        </w:rPr>
        <w:fldChar w:fldCharType="end"/>
      </w:r>
      <w:r>
        <w:fldChar w:fldCharType="begin"/>
      </w:r>
      <w:r>
        <w:rPr>
          <w:sz w:val="22"/>
          <w:u w:val="single"/>
          <w:b/>
          <w:szCs w:val="22"/>
          <w:rFonts w:eastAsia="Arial" w:cs="Arial" w:ascii="Arial" w:hAnsi="Arial"/>
          <w:color w:val="auto"/>
        </w:rPr>
        <w:instrText> HYPERLINK "https://www.planalto.gov.br/ccivil_03/_Ato2019-2022/2021/Lei/L14133.htm" \l "art124iid"</w:instrText>
      </w:r>
      <w:r>
        <w:rPr>
          <w:sz w:val="22"/>
          <w:u w:val="single"/>
          <w:b/>
          <w:szCs w:val="22"/>
          <w:rFonts w:eastAsia="Arial" w:cs="Arial" w:ascii="Arial" w:hAnsi="Arial"/>
          <w:color w:val="auto"/>
        </w:rPr>
        <w:fldChar w:fldCharType="separate"/>
      </w:r>
      <w:r>
        <w:rPr>
          <w:rFonts w:eastAsia="Arial" w:cs="Arial" w:ascii="Arial" w:hAnsi="Arial"/>
          <w:b/>
          <w:color w:val="auto"/>
          <w:sz w:val="22"/>
          <w:szCs w:val="22"/>
          <w:u w:val="single"/>
        </w:rPr>
        <w:t>caput</w:t>
      </w:r>
      <w:r>
        <w:rPr>
          <w:sz w:val="22"/>
          <w:u w:val="single"/>
          <w:b/>
          <w:szCs w:val="22"/>
          <w:rFonts w:eastAsia="Arial" w:cs="Arial" w:ascii="Arial" w:hAnsi="Arial"/>
          <w:color w:val="auto"/>
        </w:rPr>
        <w:fldChar w:fldCharType="end"/>
      </w:r>
      <w:r>
        <w:fldChar w:fldCharType="begin"/>
      </w:r>
      <w:r>
        <w:rPr>
          <w:sz w:val="22"/>
          <w:u w:val="single"/>
          <w:szCs w:val="22"/>
          <w:rFonts w:eastAsia="Arial" w:cs="Arial" w:ascii="Arial" w:hAnsi="Arial"/>
          <w:color w:val="auto"/>
        </w:rPr>
        <w:instrText> HYPERLINK "https://www.planalto.gov.br/ccivil_03/_Ato2019-2022/2021/Lei/L14133.htm" \l "art124iid"</w:instrText>
      </w:r>
      <w:r>
        <w:rPr>
          <w:sz w:val="22"/>
          <w:u w:val="single"/>
          <w:szCs w:val="22"/>
          <w:rFonts w:eastAsia="Arial" w:cs="Arial" w:ascii="Arial" w:hAnsi="Arial"/>
          <w:color w:val="auto"/>
        </w:rPr>
        <w:fldChar w:fldCharType="separate"/>
      </w:r>
      <w:r>
        <w:rPr>
          <w:rFonts w:eastAsia="Arial" w:cs="Arial" w:ascii="Arial" w:hAnsi="Arial"/>
          <w:color w:val="auto"/>
          <w:sz w:val="22"/>
          <w:szCs w:val="22"/>
          <w:u w:val="single"/>
        </w:rPr>
        <w:t> do art. 124 da Lei nº 14.133, de 2021;</w:t>
      </w:r>
      <w:r>
        <w:rPr>
          <w:sz w:val="22"/>
          <w:u w:val="single"/>
          <w:szCs w:val="22"/>
          <w:rFonts w:eastAsia="Arial" w:cs="Arial" w:ascii="Arial" w:hAnsi="Arial"/>
          <w:color w:val="auto"/>
        </w:rPr>
        <w:fldChar w:fldCharType="end"/>
      </w:r>
    </w:p>
    <w:p>
      <w:pPr>
        <w:pStyle w:val="Normal"/>
        <w:spacing w:lineRule="auto" w:line="360"/>
        <w:jc w:val="both"/>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em caso de criação, alteração ou extinção de quaisquer tributos ou encargos legais ou superveniência de disposições legais, com comprovada repercussão sobre os preços registrados; </w:t>
      </w:r>
    </w:p>
    <w:p>
      <w:pPr>
        <w:pStyle w:val="Normal"/>
        <w:spacing w:lineRule="auto" w:line="360"/>
        <w:jc w:val="both"/>
        <w:rPr>
          <w:color w:val="auto"/>
        </w:rPr>
      </w:pPr>
      <w:r>
        <w:rPr>
          <w:rFonts w:eastAsia="Arial" w:cs="Arial" w:ascii="Arial" w:hAnsi="Arial"/>
          <w:b/>
          <w:color w:val="auto"/>
          <w:sz w:val="22"/>
          <w:szCs w:val="22"/>
        </w:rPr>
        <w:t>14.2 -</w:t>
      </w:r>
      <w:r>
        <w:rPr>
          <w:rFonts w:eastAsia="Arial" w:cs="Arial" w:ascii="Arial" w:hAnsi="Arial"/>
          <w:color w:val="auto"/>
          <w:sz w:val="22"/>
          <w:szCs w:val="22"/>
        </w:rPr>
        <w:t xml:space="preserve"> A solicitação de alteração de preços visando o restabelecimento do equilíbrio econômico-financeiro, deverá ser formalizado por escrito e devidamente motivado e justificado, devendo ainda o Fornecedor Registrado comprovar o aumento ou redução dos preços. </w:t>
      </w:r>
    </w:p>
    <w:p>
      <w:pPr>
        <w:pStyle w:val="Normal"/>
        <w:spacing w:lineRule="auto" w:line="360"/>
        <w:jc w:val="both"/>
        <w:rPr>
          <w:color w:val="auto"/>
        </w:rPr>
      </w:pPr>
      <w:r>
        <w:rPr>
          <w:rFonts w:eastAsia="Arial" w:cs="Arial" w:ascii="Arial" w:hAnsi="Arial"/>
          <w:b/>
          <w:color w:val="auto"/>
          <w:sz w:val="22"/>
          <w:szCs w:val="22"/>
        </w:rPr>
        <w:t>14.2.1 -</w:t>
      </w:r>
      <w:r>
        <w:rPr>
          <w:rFonts w:eastAsia="Arial" w:cs="Arial" w:ascii="Arial" w:hAnsi="Arial"/>
          <w:color w:val="auto"/>
          <w:sz w:val="22"/>
          <w:szCs w:val="22"/>
        </w:rPr>
        <w:t xml:space="preserve"> A resposta para o pedido de restabelecimento do equilíbrio econômico-financeiro será de 30 (trinta) dias após seu protocolo.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QUINTA – DAS SANÇÕES ADMINISTRATIVAS</w:t>
      </w:r>
    </w:p>
    <w:p>
      <w:pPr>
        <w:pStyle w:val="Normal"/>
        <w:spacing w:lineRule="auto" w:line="360"/>
        <w:rPr>
          <w:color w:val="auto"/>
        </w:rPr>
      </w:pPr>
      <w:r>
        <w:rPr>
          <w:rFonts w:eastAsia="Arial" w:cs="Arial" w:ascii="Arial" w:hAnsi="Arial"/>
          <w:b/>
          <w:color w:val="auto"/>
          <w:sz w:val="22"/>
          <w:szCs w:val="22"/>
        </w:rPr>
        <w:t>15.1 -</w:t>
      </w:r>
      <w:r>
        <w:rPr>
          <w:rFonts w:eastAsia="Arial" w:cs="Arial" w:ascii="Arial" w:hAnsi="Arial"/>
          <w:color w:val="auto"/>
          <w:sz w:val="22"/>
          <w:szCs w:val="22"/>
        </w:rPr>
        <w:t xml:space="preserve"> Das infrações e sanções aplicáveis aos contratados quando:</w:t>
      </w:r>
    </w:p>
    <w:p>
      <w:pPr>
        <w:pStyle w:val="Normal"/>
        <w:spacing w:lineRule="auto" w:line="360"/>
        <w:rPr>
          <w:color w:val="auto"/>
        </w:rPr>
      </w:pPr>
      <w:r>
        <w:rPr>
          <w:rFonts w:eastAsia="Arial" w:cs="Arial" w:ascii="Arial" w:hAnsi="Arial"/>
          <w:b/>
          <w:color w:val="auto"/>
          <w:sz w:val="22"/>
          <w:szCs w:val="22"/>
        </w:rPr>
        <w:t>a</w:t>
      </w:r>
      <w:r>
        <w:rPr>
          <w:rFonts w:eastAsia="Arial" w:cs="Arial" w:ascii="Arial" w:hAnsi="Arial"/>
          <w:color w:val="auto"/>
          <w:sz w:val="22"/>
          <w:szCs w:val="22"/>
        </w:rPr>
        <w:t>) Dar causa à inexecução parcial do contrato;</w:t>
      </w:r>
    </w:p>
    <w:p>
      <w:pPr>
        <w:pStyle w:val="Normal"/>
        <w:spacing w:lineRule="auto" w:line="360"/>
        <w:rPr>
          <w:color w:val="auto"/>
        </w:rPr>
      </w:pPr>
      <w:r>
        <w:rPr>
          <w:rFonts w:eastAsia="Arial" w:cs="Arial" w:ascii="Arial" w:hAnsi="Arial"/>
          <w:color w:val="auto"/>
          <w:sz w:val="22"/>
          <w:szCs w:val="22"/>
        </w:rPr>
        <w:t>I – Advertência;</w:t>
      </w:r>
    </w:p>
    <w:p>
      <w:pPr>
        <w:pStyle w:val="Normal"/>
        <w:spacing w:lineRule="auto" w:line="360"/>
        <w:rPr>
          <w:color w:val="auto"/>
        </w:rPr>
      </w:pPr>
      <w:r>
        <w:rPr>
          <w:rFonts w:eastAsia="Arial" w:cs="Arial" w:ascii="Arial" w:hAnsi="Arial"/>
          <w:b/>
          <w:color w:val="auto"/>
          <w:sz w:val="22"/>
          <w:szCs w:val="22"/>
        </w:rPr>
        <w:t>b)</w:t>
      </w:r>
      <w:r>
        <w:rPr>
          <w:rFonts w:eastAsia="Arial" w:cs="Arial" w:ascii="Arial" w:hAnsi="Arial"/>
          <w:color w:val="auto"/>
          <w:sz w:val="22"/>
          <w:szCs w:val="22"/>
        </w:rPr>
        <w:t xml:space="preserve"> Dar causa à inexecução parcial do contrato que cause grave dano à Administração, ao funcionamento dos serviços públicos ou ao interesse coletivo;</w:t>
      </w:r>
    </w:p>
    <w:p>
      <w:pPr>
        <w:pStyle w:val="Normal"/>
        <w:spacing w:lineRule="auto" w:line="360"/>
        <w:rPr>
          <w:color w:val="auto"/>
        </w:rPr>
      </w:pPr>
      <w:r>
        <w:rPr>
          <w:rFonts w:eastAsia="Arial" w:cs="Arial" w:ascii="Arial" w:hAnsi="Arial"/>
          <w:color w:val="auto"/>
          <w:sz w:val="22"/>
          <w:szCs w:val="22"/>
        </w:rPr>
        <w:t> </w:t>
      </w:r>
      <w:r>
        <w:rPr>
          <w:rFonts w:eastAsia="Arial" w:cs="Arial" w:ascii="Arial" w:hAnsi="Arial"/>
          <w:color w:val="auto"/>
          <w:sz w:val="22"/>
          <w:szCs w:val="22"/>
        </w:rPr>
        <w:t>I - Multa no percentual de 20% do valor contratado;</w:t>
      </w:r>
    </w:p>
    <w:p>
      <w:pPr>
        <w:pStyle w:val="Normal"/>
        <w:spacing w:lineRule="auto" w:line="360"/>
        <w:rPr>
          <w:color w:val="auto"/>
        </w:rPr>
      </w:pPr>
      <w:r>
        <w:rPr>
          <w:rFonts w:eastAsia="Arial" w:cs="Arial" w:ascii="Arial" w:hAnsi="Arial"/>
          <w:color w:val="auto"/>
          <w:sz w:val="22"/>
          <w:szCs w:val="22"/>
        </w:rPr>
        <w:t> </w:t>
      </w:r>
      <w:r>
        <w:rPr>
          <w:rFonts w:eastAsia="Arial" w:cs="Arial" w:ascii="Arial" w:hAnsi="Arial"/>
          <w:color w:val="auto"/>
          <w:sz w:val="22"/>
          <w:szCs w:val="22"/>
        </w:rPr>
        <w:t>II - Impedimento de licitar e contratar pelo prazo de 2(dois) anos</w:t>
      </w:r>
    </w:p>
    <w:p>
      <w:pPr>
        <w:pStyle w:val="Normal"/>
        <w:spacing w:lineRule="auto" w:line="360"/>
        <w:rPr>
          <w:color w:val="auto"/>
        </w:rPr>
      </w:pPr>
      <w:r>
        <w:rPr>
          <w:rFonts w:eastAsia="Arial" w:cs="Arial" w:ascii="Arial" w:hAnsi="Arial"/>
          <w:b/>
          <w:color w:val="auto"/>
          <w:sz w:val="22"/>
          <w:szCs w:val="22"/>
        </w:rPr>
        <w:t xml:space="preserve">c) </w:t>
      </w:r>
      <w:r>
        <w:rPr>
          <w:rFonts w:eastAsia="Arial" w:cs="Arial" w:ascii="Arial" w:hAnsi="Arial"/>
          <w:color w:val="auto"/>
          <w:sz w:val="22"/>
          <w:szCs w:val="22"/>
        </w:rPr>
        <w:t>Dar causa à inexecução total do contrato;</w:t>
      </w:r>
    </w:p>
    <w:p>
      <w:pPr>
        <w:pStyle w:val="Normal"/>
        <w:spacing w:lineRule="auto" w:line="360"/>
        <w:rPr>
          <w:color w:val="auto"/>
        </w:rPr>
      </w:pPr>
      <w:r>
        <w:rPr>
          <w:rFonts w:eastAsia="Arial" w:cs="Arial" w:ascii="Arial" w:hAnsi="Arial"/>
          <w:color w:val="auto"/>
          <w:sz w:val="22"/>
          <w:szCs w:val="22"/>
        </w:rPr>
        <w:t>I - Multa no percentual de 30% do valor contratado;</w:t>
      </w:r>
    </w:p>
    <w:p>
      <w:pPr>
        <w:pStyle w:val="Normal"/>
        <w:spacing w:lineRule="auto" w:line="360"/>
        <w:rPr>
          <w:color w:val="auto"/>
        </w:rPr>
      </w:pPr>
      <w:r>
        <w:rPr>
          <w:rFonts w:eastAsia="Arial" w:cs="Arial" w:ascii="Arial" w:hAnsi="Arial"/>
          <w:color w:val="auto"/>
          <w:sz w:val="22"/>
          <w:szCs w:val="22"/>
        </w:rPr>
        <w:t>II - Impedimento de licitar e contratar pelo prazo de 2(dois) anos</w:t>
      </w:r>
    </w:p>
    <w:p>
      <w:pPr>
        <w:pStyle w:val="Normal"/>
        <w:spacing w:lineRule="auto" w:line="360"/>
        <w:rPr>
          <w:color w:val="auto"/>
        </w:rPr>
      </w:pPr>
      <w:r>
        <w:rPr>
          <w:rFonts w:eastAsia="Arial" w:cs="Arial" w:ascii="Arial" w:hAnsi="Arial"/>
          <w:b/>
          <w:color w:val="auto"/>
          <w:sz w:val="22"/>
          <w:szCs w:val="22"/>
        </w:rPr>
        <w:t>d)</w:t>
      </w:r>
      <w:r>
        <w:rPr>
          <w:rFonts w:eastAsia="Arial" w:cs="Arial" w:ascii="Arial" w:hAnsi="Arial"/>
          <w:color w:val="auto"/>
          <w:sz w:val="22"/>
          <w:szCs w:val="22"/>
        </w:rPr>
        <w:t xml:space="preserve"> Ensejar o retardamento da execução ou da entrega do objeto da licitação sem motivo justificado;</w:t>
      </w:r>
    </w:p>
    <w:p>
      <w:pPr>
        <w:pStyle w:val="Normal"/>
        <w:spacing w:lineRule="auto" w:line="360"/>
        <w:rPr>
          <w:color w:val="auto"/>
        </w:rPr>
      </w:pPr>
      <w:r>
        <w:rPr>
          <w:rFonts w:eastAsia="Arial" w:cs="Arial" w:ascii="Arial" w:hAnsi="Arial"/>
          <w:color w:val="auto"/>
          <w:sz w:val="22"/>
          <w:szCs w:val="22"/>
        </w:rPr>
        <w:t>I - Multa no percentual de 20% do valor contratado;</w:t>
      </w:r>
    </w:p>
    <w:p>
      <w:pPr>
        <w:pStyle w:val="Normal"/>
        <w:spacing w:lineRule="auto" w:line="360"/>
        <w:rPr>
          <w:color w:val="auto"/>
        </w:rPr>
      </w:pPr>
      <w:r>
        <w:rPr>
          <w:rFonts w:eastAsia="Arial" w:cs="Arial" w:ascii="Arial" w:hAnsi="Arial"/>
          <w:color w:val="auto"/>
          <w:sz w:val="22"/>
          <w:szCs w:val="22"/>
        </w:rPr>
        <w:t>II - Impedimento de licitar e contratar pelo prazo de 3(três) anos</w:t>
      </w:r>
    </w:p>
    <w:p>
      <w:pPr>
        <w:pStyle w:val="Normal"/>
        <w:spacing w:lineRule="auto" w:line="360"/>
        <w:rPr>
          <w:color w:val="auto"/>
        </w:rPr>
      </w:pPr>
      <w:r>
        <w:rPr>
          <w:rFonts w:eastAsia="Arial" w:cs="Arial" w:ascii="Arial" w:hAnsi="Arial"/>
          <w:b/>
          <w:color w:val="auto"/>
          <w:sz w:val="22"/>
          <w:szCs w:val="22"/>
        </w:rPr>
        <w:t>e)</w:t>
      </w:r>
      <w:r>
        <w:rPr>
          <w:rFonts w:eastAsia="Arial" w:cs="Arial" w:ascii="Arial" w:hAnsi="Arial"/>
          <w:color w:val="auto"/>
          <w:sz w:val="22"/>
          <w:szCs w:val="22"/>
        </w:rPr>
        <w:t xml:space="preserve"> Comportar-se de modo inidôneo ou cometer fraude de qualquer natureza;</w:t>
      </w:r>
    </w:p>
    <w:p>
      <w:pPr>
        <w:pStyle w:val="Normal"/>
        <w:spacing w:lineRule="auto" w:line="360"/>
        <w:rPr>
          <w:color w:val="auto"/>
        </w:rPr>
      </w:pPr>
      <w:r>
        <w:rPr>
          <w:rFonts w:eastAsia="Arial" w:cs="Arial" w:ascii="Arial" w:hAnsi="Arial"/>
          <w:color w:val="auto"/>
          <w:sz w:val="22"/>
          <w:szCs w:val="22"/>
        </w:rPr>
        <w:t>I - Multa no percentual de 30% do valor contratado;</w:t>
      </w:r>
    </w:p>
    <w:p>
      <w:pPr>
        <w:pStyle w:val="Normal"/>
        <w:spacing w:lineRule="auto" w:line="360"/>
        <w:rPr>
          <w:color w:val="auto"/>
        </w:rPr>
      </w:pPr>
      <w:r>
        <w:rPr>
          <w:rFonts w:eastAsia="Arial" w:cs="Arial" w:ascii="Arial" w:hAnsi="Arial"/>
          <w:color w:val="auto"/>
          <w:sz w:val="22"/>
          <w:szCs w:val="22"/>
        </w:rPr>
        <w:t>II - Declaração de inidoneidade para licitar ou contratar pelo período de 4(quatro) anos.</w:t>
      </w:r>
    </w:p>
    <w:p>
      <w:pPr>
        <w:pStyle w:val="Normal"/>
        <w:spacing w:lineRule="auto" w:line="360"/>
        <w:rPr>
          <w:color w:val="auto"/>
        </w:rPr>
      </w:pPr>
      <w:r>
        <w:rPr>
          <w:rFonts w:eastAsia="Arial" w:cs="Arial" w:ascii="Arial" w:hAnsi="Arial"/>
          <w:b/>
          <w:color w:val="auto"/>
          <w:sz w:val="22"/>
          <w:szCs w:val="22"/>
        </w:rPr>
        <w:t>f)</w:t>
      </w:r>
      <w:r>
        <w:rPr>
          <w:rFonts w:eastAsia="Arial" w:cs="Arial" w:ascii="Arial" w:hAnsi="Arial"/>
          <w:color w:val="auto"/>
          <w:sz w:val="22"/>
          <w:szCs w:val="22"/>
        </w:rPr>
        <w:t xml:space="preserve"> Praticar atos ilícitos com vistas a frustrar os objetivos da licitação;</w:t>
      </w:r>
    </w:p>
    <w:p>
      <w:pPr>
        <w:pStyle w:val="Normal"/>
        <w:spacing w:lineRule="auto" w:line="360"/>
        <w:rPr>
          <w:color w:val="auto"/>
        </w:rPr>
      </w:pPr>
      <w:r>
        <w:rPr>
          <w:rFonts w:eastAsia="Arial" w:cs="Arial" w:ascii="Arial" w:hAnsi="Arial"/>
          <w:color w:val="auto"/>
          <w:sz w:val="22"/>
          <w:szCs w:val="22"/>
        </w:rPr>
        <w:t>I - Multa no percentual de 30% do valor contratado;</w:t>
      </w:r>
    </w:p>
    <w:p>
      <w:pPr>
        <w:pStyle w:val="Normal"/>
        <w:spacing w:lineRule="auto" w:line="360"/>
        <w:rPr>
          <w:color w:val="auto"/>
        </w:rPr>
      </w:pPr>
      <w:r>
        <w:rPr>
          <w:rFonts w:eastAsia="Arial" w:cs="Arial" w:ascii="Arial" w:hAnsi="Arial"/>
          <w:color w:val="auto"/>
          <w:sz w:val="22"/>
          <w:szCs w:val="22"/>
        </w:rPr>
        <w:t>II - Declaração de inidoneidade para licitar ou contratar pelo período de 4(quatro) anos.</w:t>
      </w:r>
    </w:p>
    <w:p>
      <w:pPr>
        <w:pStyle w:val="Normal"/>
        <w:spacing w:lineRule="auto" w:line="360"/>
        <w:rPr/>
      </w:pPr>
      <w:r>
        <w:rPr>
          <w:rFonts w:eastAsia="Arial" w:cs="Arial" w:ascii="Arial" w:hAnsi="Arial"/>
          <w:b/>
          <w:color w:val="auto"/>
          <w:sz w:val="22"/>
          <w:szCs w:val="22"/>
        </w:rPr>
        <w:t>g)</w:t>
      </w:r>
      <w:r>
        <w:rPr>
          <w:rFonts w:eastAsia="Arial" w:cs="Arial" w:ascii="Arial" w:hAnsi="Arial"/>
          <w:color w:val="auto"/>
          <w:sz w:val="22"/>
          <w:szCs w:val="22"/>
        </w:rPr>
        <w:t xml:space="preserve">  Praticar ato lesivo previsto no </w:t>
      </w:r>
      <w:r>
        <w:fldChar w:fldCharType="begin"/>
      </w:r>
      <w:r>
        <w:rPr>
          <w:sz w:val="22"/>
          <w:u w:val="single"/>
          <w:szCs w:val="22"/>
          <w:rFonts w:eastAsia="Arial" w:cs="Arial" w:ascii="Arial" w:hAnsi="Arial"/>
          <w:color w:val="auto"/>
        </w:rPr>
        <w:instrText> HYPERLINK "https://www.planalto.gov.br/ccivil_03/_Ato2011-2014/2013/Lei/L12846.htm" \l "art5"</w:instrText>
      </w:r>
      <w:r>
        <w:rPr>
          <w:sz w:val="22"/>
          <w:u w:val="single"/>
          <w:szCs w:val="22"/>
          <w:rFonts w:eastAsia="Arial" w:cs="Arial" w:ascii="Arial" w:hAnsi="Arial"/>
          <w:color w:val="auto"/>
        </w:rPr>
        <w:fldChar w:fldCharType="separate"/>
      </w:r>
      <w:r>
        <w:rPr>
          <w:rFonts w:eastAsia="Arial" w:cs="Arial" w:ascii="Arial" w:hAnsi="Arial"/>
          <w:color w:val="auto"/>
          <w:sz w:val="22"/>
          <w:szCs w:val="22"/>
          <w:u w:val="single"/>
        </w:rPr>
        <w:t>art. 5º da Lei nº 12.846, de 1º de agosto de 2013.</w:t>
      </w:r>
      <w:r>
        <w:rPr>
          <w:sz w:val="22"/>
          <w:u w:val="single"/>
          <w:szCs w:val="22"/>
          <w:rFonts w:eastAsia="Arial" w:cs="Arial" w:ascii="Arial" w:hAnsi="Arial"/>
          <w:color w:val="auto"/>
        </w:rPr>
        <w:fldChar w:fldCharType="end"/>
      </w:r>
    </w:p>
    <w:p>
      <w:pPr>
        <w:pStyle w:val="Normal"/>
        <w:spacing w:lineRule="auto" w:line="360"/>
        <w:rPr>
          <w:color w:val="auto"/>
        </w:rPr>
      </w:pPr>
      <w:r>
        <w:rPr>
          <w:rFonts w:eastAsia="Arial" w:cs="Arial" w:ascii="Arial" w:hAnsi="Arial"/>
          <w:color w:val="auto"/>
          <w:sz w:val="22"/>
          <w:szCs w:val="22"/>
        </w:rPr>
        <w:t>I - Multa no percentual de 30% do valor contratado;</w:t>
      </w:r>
    </w:p>
    <w:p>
      <w:pPr>
        <w:pStyle w:val="Normal"/>
        <w:spacing w:lineRule="auto" w:line="360"/>
        <w:rPr>
          <w:color w:val="auto"/>
        </w:rPr>
      </w:pPr>
      <w:r>
        <w:rPr>
          <w:rFonts w:eastAsia="Arial" w:cs="Arial" w:ascii="Arial" w:hAnsi="Arial"/>
          <w:color w:val="auto"/>
          <w:sz w:val="22"/>
          <w:szCs w:val="22"/>
        </w:rPr>
        <w:t>II - Declaração de inidoneidade para licitar ou contratar pelo período de 4(quatro) anos.</w:t>
      </w:r>
    </w:p>
    <w:p>
      <w:pPr>
        <w:pStyle w:val="Normal"/>
        <w:spacing w:lineRule="auto" w:line="360"/>
        <w:jc w:val="both"/>
        <w:rPr>
          <w:rFonts w:ascii="Arial" w:hAnsi="Arial" w:eastAsia="Arial" w:cs="Arial"/>
          <w:b/>
          <w:b/>
          <w:color w:val="auto"/>
          <w:sz w:val="22"/>
          <w:szCs w:val="22"/>
          <w:highlight w:val="lightGray"/>
        </w:rPr>
      </w:pPr>
      <w:r>
        <w:rPr>
          <w:rFonts w:eastAsia="Arial" w:cs="Arial" w:ascii="Arial" w:hAnsi="Arial"/>
          <w:b/>
          <w:color w:val="auto"/>
          <w:sz w:val="22"/>
          <w:szCs w:val="22"/>
          <w:highlight w:val="lightGray"/>
        </w:rPr>
      </w:r>
    </w:p>
    <w:p>
      <w:pPr>
        <w:pStyle w:val="Normal"/>
        <w:spacing w:lineRule="auto" w:line="360"/>
        <w:jc w:val="both"/>
        <w:rPr>
          <w:color w:val="auto"/>
        </w:rPr>
      </w:pPr>
      <w:r>
        <w:rPr>
          <w:rFonts w:eastAsia="Arial" w:cs="Arial" w:ascii="Arial" w:hAnsi="Arial"/>
          <w:b/>
          <w:color w:val="auto"/>
          <w:sz w:val="22"/>
          <w:szCs w:val="22"/>
          <w:highlight w:val="lightGray"/>
        </w:rPr>
        <w:t>CLÁUSULA DÉCIMA SEXTA – DO CANCELAMENTO DO REGISTRO</w:t>
      </w:r>
    </w:p>
    <w:p>
      <w:pPr>
        <w:pStyle w:val="Normal"/>
        <w:spacing w:lineRule="auto" w:line="360"/>
        <w:jc w:val="both"/>
        <w:rPr>
          <w:color w:val="auto"/>
        </w:rPr>
      </w:pPr>
      <w:r>
        <w:rPr>
          <w:rFonts w:eastAsia="Arial" w:cs="Arial" w:ascii="Arial" w:hAnsi="Arial"/>
          <w:b/>
          <w:color w:val="auto"/>
          <w:sz w:val="22"/>
          <w:szCs w:val="22"/>
        </w:rPr>
        <w:t>16.1</w:t>
      </w:r>
      <w:r>
        <w:rPr>
          <w:rFonts w:eastAsia="Arial" w:cs="Arial" w:ascii="Arial" w:hAnsi="Arial"/>
          <w:color w:val="auto"/>
          <w:sz w:val="22"/>
          <w:szCs w:val="22"/>
        </w:rPr>
        <w:t xml:space="preserve"> - O fornecedor terá seu registro cancelado quando:</w:t>
      </w:r>
    </w:p>
    <w:p>
      <w:pPr>
        <w:pStyle w:val="Normal"/>
        <w:spacing w:lineRule="auto" w:line="360"/>
        <w:jc w:val="both"/>
        <w:rPr>
          <w:color w:val="auto"/>
        </w:rPr>
      </w:pPr>
      <w:r>
        <w:rPr>
          <w:rFonts w:eastAsia="Arial" w:cs="Arial" w:ascii="Arial" w:hAnsi="Arial"/>
          <w:b/>
          <w:color w:val="auto"/>
          <w:sz w:val="22"/>
          <w:szCs w:val="22"/>
        </w:rPr>
        <w:t>16.1.1</w:t>
      </w:r>
      <w:r>
        <w:rPr>
          <w:rFonts w:eastAsia="Arial" w:cs="Arial" w:ascii="Arial" w:hAnsi="Arial"/>
          <w:color w:val="auto"/>
          <w:sz w:val="22"/>
          <w:szCs w:val="22"/>
        </w:rPr>
        <w:t xml:space="preserve"> - Descumprir as condições da ata de Registro de Preços;</w:t>
      </w:r>
    </w:p>
    <w:p>
      <w:pPr>
        <w:pStyle w:val="Normal"/>
        <w:spacing w:lineRule="auto" w:line="360"/>
        <w:jc w:val="both"/>
        <w:rPr>
          <w:color w:val="auto"/>
        </w:rPr>
      </w:pPr>
      <w:r>
        <w:rPr>
          <w:rFonts w:eastAsia="Arial" w:cs="Arial" w:ascii="Arial" w:hAnsi="Arial"/>
          <w:b/>
          <w:color w:val="auto"/>
          <w:sz w:val="22"/>
          <w:szCs w:val="22"/>
        </w:rPr>
        <w:t>16.1.2</w:t>
      </w:r>
      <w:r>
        <w:rPr>
          <w:rFonts w:eastAsia="Arial" w:cs="Arial" w:ascii="Arial" w:hAnsi="Arial"/>
          <w:color w:val="auto"/>
          <w:sz w:val="22"/>
          <w:szCs w:val="22"/>
        </w:rPr>
        <w:t xml:space="preserve"> - Não retirar a respectiva nota de empenho ou instrumento equivalente, no prazo estabelecido pela Administração, sem justificativa aceitável;</w:t>
      </w:r>
    </w:p>
    <w:p>
      <w:pPr>
        <w:pStyle w:val="Normal"/>
        <w:spacing w:lineRule="auto" w:line="360"/>
        <w:jc w:val="both"/>
        <w:rPr>
          <w:color w:val="auto"/>
        </w:rPr>
      </w:pPr>
      <w:r>
        <w:rPr>
          <w:rFonts w:eastAsia="Arial" w:cs="Arial" w:ascii="Arial" w:hAnsi="Arial"/>
          <w:b/>
          <w:color w:val="auto"/>
          <w:sz w:val="22"/>
          <w:szCs w:val="22"/>
        </w:rPr>
        <w:t>16.1.3</w:t>
      </w:r>
      <w:r>
        <w:rPr>
          <w:rFonts w:eastAsia="Arial" w:cs="Arial" w:ascii="Arial" w:hAnsi="Arial"/>
          <w:color w:val="auto"/>
          <w:sz w:val="22"/>
          <w:szCs w:val="22"/>
        </w:rPr>
        <w:t xml:space="preserve"> - Não aceitar reduzir o seu preço registrado, na hipótese de este se tornar superior aqueles praticados no mercado e estiverem presentes razões de interesse público.</w:t>
      </w:r>
    </w:p>
    <w:p>
      <w:pPr>
        <w:pStyle w:val="Normal"/>
        <w:spacing w:lineRule="auto" w:line="360"/>
        <w:jc w:val="both"/>
        <w:rPr>
          <w:color w:val="auto"/>
        </w:rPr>
      </w:pPr>
      <w:r>
        <w:rPr>
          <w:rFonts w:eastAsia="Arial" w:cs="Arial" w:ascii="Arial" w:hAnsi="Arial"/>
          <w:b/>
          <w:color w:val="auto"/>
          <w:sz w:val="22"/>
          <w:szCs w:val="22"/>
        </w:rPr>
        <w:t>16.1.3.1</w:t>
      </w:r>
      <w:r>
        <w:rPr>
          <w:rFonts w:eastAsia="Arial" w:cs="Arial" w:ascii="Arial" w:hAnsi="Arial"/>
          <w:color w:val="auto"/>
          <w:sz w:val="22"/>
          <w:szCs w:val="22"/>
        </w:rPr>
        <w:t xml:space="preserve"> - O cancelamento do Registro, nas hipóteses previstas, assegurados o contraditório e a ampla defesa, será formalizado por despacho da autoridade competente do Órgão Gerenciador.</w:t>
      </w:r>
    </w:p>
    <w:p>
      <w:pPr>
        <w:pStyle w:val="Normal"/>
        <w:spacing w:lineRule="auto" w:line="360"/>
        <w:jc w:val="both"/>
        <w:rPr>
          <w:color w:val="auto"/>
        </w:rPr>
      </w:pPr>
      <w:r>
        <w:rPr>
          <w:rFonts w:eastAsia="Arial" w:cs="Arial" w:ascii="Arial" w:hAnsi="Arial"/>
          <w:b/>
          <w:color w:val="auto"/>
          <w:sz w:val="22"/>
          <w:szCs w:val="22"/>
        </w:rPr>
        <w:t>16.1.3.2</w:t>
      </w:r>
      <w:r>
        <w:rPr>
          <w:rFonts w:eastAsia="Arial" w:cs="Arial" w:ascii="Arial" w:hAnsi="Arial"/>
          <w:color w:val="auto"/>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SÉTIMA – DA LEGISLAÇÃO APLICÁVEL E DOS CASOS OMISSOS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17.1 -</w:t>
      </w:r>
      <w:r>
        <w:rPr>
          <w:rFonts w:eastAsia="Arial" w:cs="Arial" w:ascii="Arial" w:hAnsi="Arial"/>
          <w:color w:val="auto"/>
          <w:sz w:val="22"/>
          <w:szCs w:val="22"/>
        </w:rPr>
        <w:t xml:space="preserve"> O presente instrumento contratual rege-se pelas disposições expressas regida pela Lei nº 14.133/21, Decreto Municipal nº 030/2024 e, com aplicação subsidiária do Decreto Federal nº 10.024/19, ainda, aplicando-lhe supletivamente os princípios da teoria geral dos contratos e as disposições de direito privado.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17.2 -</w:t>
      </w:r>
      <w:r>
        <w:rPr>
          <w:rFonts w:eastAsia="Arial" w:cs="Arial" w:ascii="Arial" w:hAnsi="Arial"/>
          <w:color w:val="auto"/>
          <w:sz w:val="22"/>
          <w:szCs w:val="22"/>
        </w:rPr>
        <w:t xml:space="preserve"> Os casos omissos serão resolvidos à luz da referida lei e suas alterações, recorrendo-se à analogia, aos costumes e aos princípios gerais do direito.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16"/>
          <w:szCs w:val="16"/>
        </w:rPr>
      </w:pPr>
      <w:r>
        <w:rPr>
          <w:rFonts w:eastAsia="Arial" w:cs="Arial" w:ascii="Arial" w:hAnsi="Arial"/>
          <w:color w:val="auto"/>
          <w:sz w:val="16"/>
          <w:szCs w:val="16"/>
        </w:rPr>
      </w:r>
    </w:p>
    <w:p>
      <w:pPr>
        <w:pStyle w:val="Normal"/>
        <w:spacing w:lineRule="auto" w:line="360"/>
        <w:jc w:val="both"/>
        <w:rPr>
          <w:color w:val="auto"/>
        </w:rPr>
      </w:pPr>
      <w:r>
        <w:rPr>
          <w:rFonts w:eastAsia="Arial" w:cs="Arial" w:ascii="Arial" w:hAnsi="Arial"/>
          <w:b/>
          <w:color w:val="auto"/>
          <w:sz w:val="22"/>
          <w:szCs w:val="22"/>
          <w:highlight w:val="lightGray"/>
        </w:rPr>
        <w:t>CLÁUSULA DÉCIMA OITAVA – DO FORO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18.1 -</w:t>
      </w:r>
      <w:r>
        <w:rPr>
          <w:rFonts w:eastAsia="Arial" w:cs="Arial" w:ascii="Arial" w:hAnsi="Arial"/>
          <w:color w:val="auto"/>
          <w:sz w:val="22"/>
          <w:szCs w:val="22"/>
        </w:rPr>
        <w:t xml:space="preserve"> Fica eleito o foro da cidade de Araçuaí para dirimir as questões decorrentes deste instrumento ou de sua execução, com renúncia expressa de qualquer outro por mais privilegiado que seja.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18.2 -</w:t>
      </w:r>
      <w:r>
        <w:rPr>
          <w:rFonts w:eastAsia="Arial" w:cs="Arial" w:ascii="Arial" w:hAnsi="Arial"/>
          <w:color w:val="auto"/>
          <w:sz w:val="22"/>
          <w:szCs w:val="22"/>
        </w:rPr>
        <w:t xml:space="preserve"> Por estarem justos e contratados, as partes contratantes, assinam o presente instrumento contratual, em 03 (três) vias de igual teor e forma, para que produza seus jurídicos efeitos.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Local e Data.</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tabs>
          <w:tab w:val="clear" w:pos="720"/>
          <w:tab w:val="left" w:pos="3401" w:leader="none"/>
        </w:tabs>
        <w:spacing w:lineRule="auto" w:line="360"/>
        <w:jc w:val="both"/>
        <w:rPr>
          <w:color w:val="auto"/>
        </w:rPr>
      </w:pPr>
      <w:r>
        <w:rPr>
          <w:rFonts w:eastAsia="Arial" w:cs="Arial" w:ascii="Arial" w:hAnsi="Arial"/>
          <w:b/>
          <w:i/>
          <w:color w:val="auto"/>
          <w:sz w:val="22"/>
          <w:szCs w:val="22"/>
        </w:rPr>
        <w:t>Secretário Municipal de Saúde                                Representante Legal do Fornecedor</w:t>
      </w:r>
    </w:p>
    <w:p>
      <w:pPr>
        <w:pStyle w:val="Normal"/>
        <w:spacing w:lineRule="auto" w:line="360"/>
        <w:jc w:val="both"/>
        <w:rPr>
          <w:color w:val="auto"/>
          <w:sz w:val="16"/>
          <w:szCs w:val="16"/>
        </w:rPr>
      </w:pPr>
      <w:r>
        <w:rPr>
          <w:color w:val="auto"/>
          <w:sz w:val="16"/>
          <w:szCs w:val="16"/>
        </w:rPr>
      </w:r>
    </w:p>
    <w:p>
      <w:pPr>
        <w:pStyle w:val="Normal"/>
        <w:spacing w:lineRule="auto" w:line="360"/>
        <w:jc w:val="both"/>
        <w:rPr>
          <w:color w:val="auto"/>
        </w:rPr>
      </w:pPr>
      <w:r>
        <w:rPr>
          <w:rFonts w:eastAsia="Arial" w:cs="Arial" w:ascii="Arial" w:hAnsi="Arial"/>
          <w:b/>
          <w:i/>
          <w:color w:val="auto"/>
          <w:sz w:val="22"/>
          <w:szCs w:val="22"/>
        </w:rPr>
        <w:t xml:space="preserve">TESTEMUNHAS: </w:t>
      </w:r>
    </w:p>
    <w:p>
      <w:pPr>
        <w:pStyle w:val="Normal"/>
        <w:spacing w:lineRule="auto" w:line="360"/>
        <w:jc w:val="both"/>
        <w:rPr>
          <w:color w:val="auto"/>
        </w:rPr>
      </w:pPr>
      <w:r>
        <w:rPr>
          <w:rFonts w:eastAsia="Arial" w:cs="Arial" w:ascii="Arial" w:hAnsi="Arial"/>
          <w:b/>
          <w:i/>
          <w:color w:val="auto"/>
          <w:sz w:val="22"/>
          <w:szCs w:val="22"/>
        </w:rPr>
        <w:t>_______________________________________</w:t>
      </w:r>
    </w:p>
    <w:p>
      <w:pPr>
        <w:pStyle w:val="Normal"/>
        <w:spacing w:lineRule="auto" w:line="360"/>
        <w:jc w:val="both"/>
        <w:rPr>
          <w:color w:val="auto"/>
        </w:rPr>
      </w:pPr>
      <w:r>
        <w:rPr>
          <w:rFonts w:eastAsia="Arial" w:cs="Arial" w:ascii="Arial" w:hAnsi="Arial"/>
          <w:b/>
          <w:i/>
          <w:color w:val="auto"/>
          <w:sz w:val="22"/>
          <w:szCs w:val="22"/>
        </w:rPr>
        <w:t xml:space="preserve">NOME: </w:t>
      </w:r>
    </w:p>
    <w:p>
      <w:pPr>
        <w:pStyle w:val="Normal"/>
        <w:spacing w:lineRule="auto" w:line="360"/>
        <w:jc w:val="both"/>
        <w:rPr>
          <w:color w:val="auto"/>
        </w:rPr>
      </w:pPr>
      <w:r>
        <w:rPr>
          <w:rFonts w:eastAsia="Arial" w:cs="Arial" w:ascii="Arial" w:hAnsi="Arial"/>
          <w:b/>
          <w:i/>
          <w:color w:val="auto"/>
          <w:sz w:val="22"/>
          <w:szCs w:val="22"/>
        </w:rPr>
        <w:t xml:space="preserve">CPF: </w:t>
      </w:r>
    </w:p>
    <w:p>
      <w:pPr>
        <w:pStyle w:val="Normal"/>
        <w:spacing w:lineRule="auto" w:line="360"/>
        <w:jc w:val="both"/>
        <w:rPr>
          <w:color w:val="auto"/>
        </w:rPr>
      </w:pPr>
      <w:r>
        <w:rPr>
          <w:rFonts w:eastAsia="Arial" w:cs="Arial" w:ascii="Arial" w:hAnsi="Arial"/>
          <w:b/>
          <w:i/>
          <w:color w:val="auto"/>
          <w:sz w:val="22"/>
          <w:szCs w:val="22"/>
        </w:rPr>
        <w:t>_______________________________________</w:t>
      </w:r>
    </w:p>
    <w:p>
      <w:pPr>
        <w:pStyle w:val="Normal"/>
        <w:spacing w:lineRule="auto" w:line="360"/>
        <w:jc w:val="both"/>
        <w:rPr>
          <w:color w:val="auto"/>
        </w:rPr>
      </w:pPr>
      <w:r>
        <w:rPr>
          <w:rFonts w:eastAsia="Arial" w:cs="Arial" w:ascii="Arial" w:hAnsi="Arial"/>
          <w:b/>
          <w:i/>
          <w:color w:val="auto"/>
          <w:sz w:val="22"/>
          <w:szCs w:val="22"/>
        </w:rPr>
        <w:t xml:space="preserve">NOME: </w:t>
      </w:r>
    </w:p>
    <w:p>
      <w:pPr>
        <w:pStyle w:val="Normal"/>
        <w:spacing w:lineRule="auto" w:line="360"/>
        <w:jc w:val="both"/>
        <w:rPr>
          <w:color w:val="auto"/>
        </w:rPr>
      </w:pPr>
      <w:r>
        <w:rPr>
          <w:rFonts w:eastAsia="Arial" w:cs="Arial" w:ascii="Arial" w:hAnsi="Arial"/>
          <w:b/>
          <w:i/>
          <w:color w:val="auto"/>
          <w:sz w:val="22"/>
          <w:szCs w:val="22"/>
        </w:rPr>
        <w:t xml:space="preserve">CPF:  </w:t>
      </w:r>
    </w:p>
    <w:p>
      <w:pPr>
        <w:pStyle w:val="Normal"/>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Ttulo1"/>
        <w:spacing w:lineRule="auto" w:line="360" w:before="0" w:after="0"/>
        <w:jc w:val="center"/>
        <w:rPr>
          <w:color w:val="auto"/>
        </w:rPr>
      </w:pPr>
      <w:bookmarkStart w:id="13" w:name="_heading=h.3rdcrjn"/>
      <w:bookmarkEnd w:id="13"/>
      <w:r>
        <w:rPr>
          <w:rFonts w:cs="Arial"/>
          <w:color w:val="auto"/>
          <w:sz w:val="22"/>
          <w:szCs w:val="22"/>
        </w:rPr>
        <w:t>ANEXO III</w:t>
      </w:r>
    </w:p>
    <w:p>
      <w:pPr>
        <w:pStyle w:val="Ttulo1"/>
        <w:spacing w:lineRule="auto" w:line="360" w:before="0" w:after="0"/>
        <w:jc w:val="center"/>
        <w:rPr>
          <w:color w:val="auto"/>
        </w:rPr>
      </w:pPr>
      <w:r>
        <w:rPr>
          <w:rFonts w:cs="Arial"/>
          <w:color w:val="auto"/>
          <w:sz w:val="22"/>
          <w:szCs w:val="22"/>
        </w:rPr>
        <w:t>MINUTA DO INSTRUMENTO DE CONTRATO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PROCESSO LICITATÓRIO N.º 021/202X</w:t>
      </w:r>
    </w:p>
    <w:p>
      <w:pPr>
        <w:pStyle w:val="Normal"/>
        <w:spacing w:lineRule="auto" w:line="360"/>
        <w:jc w:val="both"/>
        <w:rPr>
          <w:color w:val="auto"/>
        </w:rPr>
      </w:pPr>
      <w:r>
        <w:rPr>
          <w:rFonts w:eastAsia="Arial" w:cs="Arial" w:ascii="Arial" w:hAnsi="Arial"/>
          <w:b/>
          <w:color w:val="auto"/>
          <w:sz w:val="22"/>
          <w:szCs w:val="22"/>
        </w:rPr>
        <w:t>MODALIDADE PREGÃO ELETRÔNICO N° 009/202X</w:t>
      </w:r>
    </w:p>
    <w:p>
      <w:pPr>
        <w:pStyle w:val="Normal"/>
        <w:spacing w:lineRule="auto" w:line="360"/>
        <w:jc w:val="both"/>
        <w:rPr>
          <w:color w:val="auto"/>
        </w:rPr>
      </w:pPr>
      <w:r>
        <w:rPr>
          <w:rFonts w:eastAsia="Arial" w:cs="Arial" w:ascii="Arial" w:hAnsi="Arial"/>
          <w:b/>
          <w:color w:val="auto"/>
          <w:sz w:val="22"/>
          <w:szCs w:val="22"/>
        </w:rPr>
        <w:t>TIPO: MENOR PREÇO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center"/>
        <w:rPr>
          <w:color w:val="auto"/>
        </w:rPr>
      </w:pPr>
      <w:r>
        <w:rPr>
          <w:rFonts w:eastAsia="Arial" w:cs="Arial" w:ascii="Arial" w:hAnsi="Arial"/>
          <w:b/>
          <w:color w:val="auto"/>
          <w:sz w:val="22"/>
          <w:szCs w:val="22"/>
        </w:rPr>
        <w:t xml:space="preserve">CONTRATO N° </w:t>
      </w:r>
      <w:r>
        <w:rPr>
          <w:rFonts w:eastAsia="Arial" w:cs="Arial" w:ascii="Arial" w:hAnsi="Arial"/>
          <w:color w:val="auto"/>
          <w:sz w:val="22"/>
          <w:szCs w:val="22"/>
        </w:rPr>
        <w:t>___</w:t>
      </w:r>
      <w:r>
        <w:rPr>
          <w:rFonts w:eastAsia="Arial" w:cs="Arial" w:ascii="Arial" w:hAnsi="Arial"/>
          <w:b/>
          <w:color w:val="auto"/>
          <w:sz w:val="22"/>
          <w:szCs w:val="22"/>
        </w:rPr>
        <w:t>/202X</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PARTES:</w:t>
      </w:r>
    </w:p>
    <w:p>
      <w:pPr>
        <w:pStyle w:val="Normal"/>
        <w:spacing w:lineRule="auto" w:line="360"/>
        <w:jc w:val="both"/>
        <w:rPr>
          <w:color w:val="auto"/>
        </w:rPr>
      </w:pPr>
      <w:r>
        <w:rPr>
          <w:rFonts w:eastAsia="Arial" w:cs="Arial" w:ascii="Arial" w:hAnsi="Arial"/>
          <w:b/>
          <w:color w:val="auto"/>
          <w:sz w:val="22"/>
          <w:szCs w:val="22"/>
          <w:highlight w:val="lightGray"/>
        </w:rPr>
        <w:t>CONTRATANTE:</w:t>
      </w:r>
      <w:r>
        <w:rPr>
          <w:rFonts w:eastAsia="Arial" w:cs="Arial" w:ascii="Arial" w:hAnsi="Arial"/>
          <w:color w:val="auto"/>
          <w:sz w:val="22"/>
          <w:szCs w:val="22"/>
        </w:rPr>
        <w:t xml:space="preserve">    </w:t>
        <w:tab/>
      </w:r>
    </w:p>
    <w:p>
      <w:pPr>
        <w:pStyle w:val="Normal"/>
        <w:tabs>
          <w:tab w:val="clear" w:pos="720"/>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Município de Araçuaí/MG, com sede na Praça rui Barbosa, nº 26 – Bairro Centro, na cidade de Araçuaí, CEP 39.600-000 – MG, inscrita no CNPJ/MF N. 17.963.083/0001-17, neste ato representado pela sua Secretária de Saúde, </w:t>
      </w:r>
      <w:r>
        <w:rPr>
          <w:rFonts w:eastAsia="Arial" w:cs="Arial" w:ascii="Arial" w:hAnsi="Arial"/>
          <w:b/>
          <w:color w:val="auto"/>
          <w:sz w:val="22"/>
          <w:szCs w:val="22"/>
        </w:rPr>
        <w:t>senhor</w:t>
      </w:r>
      <w:r>
        <w:rPr>
          <w:rFonts w:eastAsia="Arial" w:cs="Arial" w:ascii="Arial" w:hAnsi="Arial"/>
          <w:color w:val="auto"/>
          <w:sz w:val="22"/>
          <w:szCs w:val="22"/>
        </w:rPr>
        <w:t xml:space="preserve"> Israel Francisco Ornelas da Silva, portador do CPF Nº 077.319.646-39, doravante denominada </w:t>
      </w:r>
      <w:r>
        <w:rPr>
          <w:rFonts w:eastAsia="Arial" w:cs="Arial" w:ascii="Arial" w:hAnsi="Arial"/>
          <w:b/>
          <w:color w:val="auto"/>
          <w:sz w:val="22"/>
          <w:szCs w:val="22"/>
        </w:rPr>
        <w:t>CONTRATANTE</w:t>
      </w:r>
      <w:r>
        <w:rPr>
          <w:rFonts w:eastAsia="Arial" w:cs="Arial" w:ascii="Arial" w:hAnsi="Arial"/>
          <w:color w:val="auto"/>
          <w:sz w:val="22"/>
          <w:szCs w:val="22"/>
        </w:rPr>
        <w:t>.</w:t>
      </w:r>
      <w:r>
        <w:rPr>
          <w:rFonts w:eastAsia="Arial" w:cs="Arial" w:ascii="Arial" w:hAnsi="Arial"/>
          <w:b/>
          <w:color w:val="auto"/>
          <w:sz w:val="22"/>
          <w:szCs w:val="22"/>
        </w:rPr>
        <w:t xml:space="preserve"> </w:t>
      </w:r>
    </w:p>
    <w:p>
      <w:pPr>
        <w:pStyle w:val="Normal"/>
        <w:spacing w:lineRule="auto" w:line="360"/>
        <w:jc w:val="both"/>
        <w:rPr>
          <w:rFonts w:ascii="Arial" w:hAnsi="Arial" w:eastAsia="Arial" w:cs="Arial"/>
          <w:b/>
          <w:b/>
          <w:color w:val="auto"/>
          <w:sz w:val="22"/>
          <w:szCs w:val="22"/>
          <w:highlight w:val="lightGray"/>
        </w:rPr>
      </w:pPr>
      <w:r>
        <w:rPr>
          <w:rFonts w:eastAsia="Arial" w:cs="Arial" w:ascii="Arial" w:hAnsi="Arial"/>
          <w:b/>
          <w:color w:val="auto"/>
          <w:sz w:val="22"/>
          <w:szCs w:val="22"/>
          <w:highlight w:val="lightGray"/>
        </w:rPr>
      </w:r>
    </w:p>
    <w:p>
      <w:pPr>
        <w:pStyle w:val="Normal"/>
        <w:spacing w:lineRule="auto" w:line="360"/>
        <w:jc w:val="both"/>
        <w:rPr>
          <w:color w:val="auto"/>
        </w:rPr>
      </w:pPr>
      <w:r>
        <w:rPr>
          <w:rFonts w:eastAsia="Arial" w:cs="Arial" w:ascii="Arial" w:hAnsi="Arial"/>
          <w:b/>
          <w:color w:val="auto"/>
          <w:sz w:val="22"/>
          <w:szCs w:val="22"/>
          <w:highlight w:val="lightGray"/>
        </w:rPr>
        <w:t xml:space="preserve">CONTRATADA:  </w:t>
      </w:r>
    </w:p>
    <w:p>
      <w:pPr>
        <w:pStyle w:val="Normal"/>
        <w:tabs>
          <w:tab w:val="clear" w:pos="720"/>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Pr>
          <w:rFonts w:eastAsia="Arial" w:cs="Arial" w:ascii="Arial" w:hAnsi="Arial"/>
          <w:b/>
          <w:color w:val="auto"/>
          <w:sz w:val="22"/>
          <w:szCs w:val="22"/>
        </w:rPr>
        <w:t>senhor</w:t>
      </w:r>
      <w:r>
        <w:rPr>
          <w:rFonts w:eastAsia="Arial" w:cs="Arial" w:ascii="Arial" w:hAnsi="Arial"/>
          <w:color w:val="auto"/>
          <w:sz w:val="22"/>
          <w:szCs w:val="22"/>
        </w:rPr>
        <w:t xml:space="preserve"> ________________________________________, portador do CPF N.  XXX.XXX.XXX-XX, </w:t>
      </w:r>
      <w:r>
        <w:rPr>
          <w:rFonts w:eastAsia="Arial" w:cs="Arial" w:ascii="Arial" w:hAnsi="Arial"/>
          <w:b/>
          <w:color w:val="auto"/>
          <w:sz w:val="22"/>
          <w:szCs w:val="22"/>
        </w:rPr>
        <w:t>E-MAIL INSTITUCIONAL:</w:t>
      </w:r>
      <w:r>
        <w:rPr>
          <w:rFonts w:eastAsia="Arial" w:cs="Arial" w:ascii="Arial" w:hAnsi="Arial"/>
          <w:color w:val="auto"/>
          <w:sz w:val="22"/>
          <w:szCs w:val="22"/>
        </w:rPr>
        <w:t xml:space="preserve"> _________________________________________________, doravante denominada </w:t>
      </w:r>
      <w:r>
        <w:rPr>
          <w:rFonts w:eastAsia="Arial" w:cs="Arial" w:ascii="Arial" w:hAnsi="Arial"/>
          <w:b/>
          <w:color w:val="auto"/>
          <w:sz w:val="22"/>
          <w:szCs w:val="22"/>
        </w:rPr>
        <w:t>CONTRATADA.</w:t>
      </w:r>
    </w:p>
    <w:p>
      <w:pPr>
        <w:pStyle w:val="Normal"/>
        <w:tabs>
          <w:tab w:val="clear" w:pos="720"/>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color w:val="auto"/>
          <w:sz w:val="22"/>
          <w:szCs w:val="22"/>
        </w:rPr>
        <w:t xml:space="preserve">Têm entre si justo e acordado celebrar o presente Instrumento de Contrato, devidamente autorizado, que se regerá pelas normas da Lei Federal nº. 14.133/21, decorrente do </w:t>
      </w:r>
      <w:r>
        <w:rPr>
          <w:rFonts w:eastAsia="Arial" w:cs="Arial" w:ascii="Arial" w:hAnsi="Arial"/>
          <w:b/>
          <w:color w:val="auto"/>
          <w:sz w:val="22"/>
          <w:szCs w:val="22"/>
        </w:rPr>
        <w:t>Processo Administrativo nº. 021/2024, Pregão Eletrônico nº. 009/2024</w:t>
      </w:r>
      <w:r>
        <w:rPr>
          <w:rFonts w:eastAsia="Arial" w:cs="Arial" w:ascii="Arial" w:hAnsi="Arial"/>
          <w:color w:val="auto"/>
          <w:sz w:val="22"/>
          <w:szCs w:val="22"/>
        </w:rPr>
        <w:t xml:space="preserve"> e pelas condições que estipulam a seguir.</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PRIMEIRA – DO OBJETO.</w:t>
      </w:r>
    </w:p>
    <w:p>
      <w:pPr>
        <w:pStyle w:val="Normal"/>
        <w:spacing w:lineRule="auto" w:line="360"/>
        <w:jc w:val="both"/>
        <w:rPr>
          <w:color w:val="auto"/>
        </w:rPr>
      </w:pPr>
      <w:r>
        <w:rPr>
          <w:rFonts w:eastAsia="Arial" w:cs="Arial" w:ascii="Arial" w:hAnsi="Arial"/>
          <w:color w:val="auto"/>
          <w:sz w:val="22"/>
          <w:szCs w:val="22"/>
        </w:rPr>
        <w:t>Registro de preços para futura e eventual aquisição de oxigênio medicinal e cilindros, com regime de comodato de cilindros, para atender as demandas da Secretaria de Saúde do Município de Araçuaí - MG.</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tabs>
          <w:tab w:val="clear" w:pos="720"/>
          <w:tab w:val="left" w:pos="3686" w:leader="none"/>
        </w:tabs>
        <w:spacing w:lineRule="auto" w:line="360"/>
        <w:jc w:val="both"/>
        <w:rPr>
          <w:color w:val="auto"/>
        </w:rPr>
      </w:pPr>
      <w:r>
        <w:rPr>
          <w:rFonts w:eastAsia="Arial" w:cs="Arial" w:ascii="Arial" w:hAnsi="Arial"/>
          <w:b/>
          <w:color w:val="auto"/>
          <w:sz w:val="22"/>
          <w:szCs w:val="22"/>
        </w:rPr>
        <w:t>PARÁGRAFO ÚNICO</w:t>
      </w:r>
      <w:r>
        <w:rPr>
          <w:rFonts w:eastAsia="Arial" w:cs="Arial" w:ascii="Arial" w:hAnsi="Arial"/>
          <w:color w:val="auto"/>
          <w:sz w:val="22"/>
          <w:szCs w:val="22"/>
        </w:rPr>
        <w:t xml:space="preserve"> - Integra e completa o presente Instrumento de Contrato para todos os fins de direito, obrigando as partes em todos os seus termos, as condições do Processo Administrativo 021/2024 bem como a ata de registro de preços nº xxx/2024 e demais anexos que formam o Processo Licitatório, independente de transcrição.</w:t>
      </w:r>
    </w:p>
    <w:p>
      <w:pPr>
        <w:pStyle w:val="Normal"/>
        <w:tabs>
          <w:tab w:val="clear" w:pos="720"/>
          <w:tab w:val="left" w:pos="3686"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SEGUNDA – DO VALOR DO CONTRATO</w:t>
      </w:r>
    </w:p>
    <w:p>
      <w:pPr>
        <w:pStyle w:val="Normal"/>
        <w:spacing w:lineRule="auto" w:line="360"/>
        <w:jc w:val="both"/>
        <w:rPr>
          <w:color w:val="auto"/>
        </w:rPr>
      </w:pPr>
      <w:r>
        <w:rPr>
          <w:rFonts w:eastAsia="Arial" w:cs="Arial" w:ascii="Arial" w:hAnsi="Arial"/>
          <w:b/>
          <w:color w:val="auto"/>
          <w:sz w:val="22"/>
          <w:szCs w:val="22"/>
        </w:rPr>
        <w:t>2.1</w:t>
      </w:r>
      <w:r>
        <w:rPr>
          <w:rFonts w:eastAsia="Arial" w:cs="Arial" w:ascii="Arial" w:hAnsi="Arial"/>
          <w:color w:val="auto"/>
          <w:sz w:val="22"/>
          <w:szCs w:val="22"/>
        </w:rPr>
        <w:t xml:space="preserve"> - O valor estimado deste contrato é de </w:t>
      </w:r>
      <w:r>
        <w:rPr>
          <w:rFonts w:eastAsia="Arial" w:cs="Arial" w:ascii="Arial" w:hAnsi="Arial"/>
          <w:b/>
          <w:color w:val="auto"/>
          <w:sz w:val="22"/>
          <w:szCs w:val="22"/>
        </w:rPr>
        <w:t xml:space="preserve">R$ </w:t>
      </w:r>
      <w:r>
        <w:rPr>
          <w:rFonts w:eastAsia="Arial" w:cs="Arial" w:ascii="Arial" w:hAnsi="Arial"/>
          <w:color w:val="auto"/>
          <w:sz w:val="22"/>
          <w:szCs w:val="22"/>
        </w:rPr>
        <w:t xml:space="preserve">__________________, sendo de </w:t>
      </w:r>
      <w:r>
        <w:rPr>
          <w:rFonts w:eastAsia="Arial" w:cs="Arial" w:ascii="Arial" w:hAnsi="Arial"/>
          <w:b/>
          <w:color w:val="auto"/>
          <w:sz w:val="22"/>
          <w:szCs w:val="22"/>
        </w:rPr>
        <w:t>R$ .</w:t>
      </w:r>
      <w:r>
        <w:rPr>
          <w:rFonts w:eastAsia="Arial" w:cs="Arial" w:ascii="Arial" w:hAnsi="Arial"/>
          <w:color w:val="auto"/>
          <w:sz w:val="22"/>
          <w:szCs w:val="22"/>
        </w:rPr>
        <w:t xml:space="preserve"> __________________, correspondente à proposta ofertada pela CONTRATADA, de acordo com os valores e quantitativos abaixo relacionados, que será adquirido de forma parcelada:</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tbl>
      <w:tblPr>
        <w:tblStyle w:val="Style85"/>
        <w:tblW w:w="94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2"/>
        <w:gridCol w:w="959"/>
        <w:gridCol w:w="1105"/>
        <w:gridCol w:w="3284"/>
        <w:gridCol w:w="1596"/>
        <w:gridCol w:w="1529"/>
      </w:tblGrid>
      <w:tr>
        <w:trPr/>
        <w:tc>
          <w:tcPr>
            <w:tcW w:w="9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Item</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Unid</w:t>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Quant</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Descrição</w:t>
            </w:r>
          </w:p>
        </w:tc>
        <w:tc>
          <w:tcPr>
            <w:tcW w:w="15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Valor unit</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t>Valor Total</w:t>
            </w:r>
          </w:p>
        </w:tc>
      </w:tr>
      <w:tr>
        <w:trPr/>
        <w:tc>
          <w:tcPr>
            <w:tcW w:w="9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15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Arial" w:hAnsi="Arial" w:eastAsia="Arial" w:cs="Arial"/>
                <w:color w:val="auto"/>
                <w:kern w:val="0"/>
                <w:sz w:val="22"/>
                <w:szCs w:val="22"/>
                <w:lang w:val="pt-BR" w:eastAsia="pt-BR" w:bidi="ar-SA"/>
              </w:rPr>
            </w:pPr>
            <w:r>
              <w:rPr>
                <w:rFonts w:eastAsia="Arial" w:cs="Arial" w:ascii="Arial" w:hAnsi="Arial"/>
                <w:color w:val="auto"/>
                <w:kern w:val="0"/>
                <w:sz w:val="22"/>
                <w:szCs w:val="22"/>
                <w:lang w:val="pt-BR" w:eastAsia="pt-BR" w:bidi="ar-SA"/>
              </w:rPr>
            </w:r>
          </w:p>
        </w:tc>
      </w:tr>
    </w:tbl>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2.2</w:t>
      </w:r>
      <w:r>
        <w:rPr>
          <w:rFonts w:eastAsia="Arial" w:cs="Arial" w:ascii="Arial" w:hAnsi="Arial"/>
          <w:color w:val="auto"/>
          <w:sz w:val="22"/>
          <w:szCs w:val="22"/>
        </w:rPr>
        <w:t xml:space="preserve"> - O </w:t>
      </w:r>
      <w:r>
        <w:rPr>
          <w:rFonts w:eastAsia="Arial" w:cs="Arial" w:ascii="Arial" w:hAnsi="Arial"/>
          <w:b/>
          <w:color w:val="auto"/>
          <w:sz w:val="22"/>
          <w:szCs w:val="22"/>
        </w:rPr>
        <w:t>CONTRATANTE</w:t>
      </w:r>
      <w:r>
        <w:rPr>
          <w:rFonts w:eastAsia="Arial" w:cs="Arial" w:ascii="Arial" w:hAnsi="Arial"/>
          <w:color w:val="auto"/>
          <w:sz w:val="22"/>
          <w:szCs w:val="22"/>
        </w:rPr>
        <w:t xml:space="preserve"> poderá acrescer ou suprimir os quantitativos, respeitando os limites legais, conforme art.125 da Lei Federal 14.133/2021.</w:t>
      </w:r>
    </w:p>
    <w:p>
      <w:pPr>
        <w:pStyle w:val="Normal"/>
        <w:spacing w:lineRule="auto" w:line="360"/>
        <w:jc w:val="both"/>
        <w:rPr>
          <w:color w:val="auto"/>
        </w:rPr>
      </w:pPr>
      <w:r>
        <w:rPr>
          <w:rFonts w:eastAsia="Arial" w:cs="Arial" w:ascii="Arial" w:hAnsi="Arial"/>
          <w:b/>
          <w:color w:val="auto"/>
          <w:sz w:val="22"/>
          <w:szCs w:val="22"/>
        </w:rPr>
        <w:t>2.3</w:t>
      </w:r>
      <w:r>
        <w:rPr>
          <w:rFonts w:eastAsia="Arial" w:cs="Arial" w:ascii="Arial" w:hAnsi="Arial"/>
          <w:color w:val="auto"/>
          <w:sz w:val="22"/>
          <w:szCs w:val="22"/>
        </w:rPr>
        <w:t xml:space="preserve"> - Serão incorporados ao contrato, mediante Aditamento todas e quaisquer modificações, que venham ser necessárias durante sua vigência decorrente de alterações unilaterais do </w:t>
      </w:r>
      <w:r>
        <w:rPr>
          <w:rFonts w:eastAsia="Arial" w:cs="Arial" w:ascii="Arial" w:hAnsi="Arial"/>
          <w:b/>
          <w:color w:val="auto"/>
          <w:sz w:val="22"/>
          <w:szCs w:val="22"/>
        </w:rPr>
        <w:t>CONTRATANTE</w:t>
      </w:r>
      <w:r>
        <w:rPr>
          <w:rFonts w:eastAsia="Arial" w:cs="Arial" w:ascii="Arial" w:hAnsi="Arial"/>
          <w:color w:val="auto"/>
          <w:sz w:val="22"/>
          <w:szCs w:val="22"/>
        </w:rPr>
        <w:t xml:space="preserve"> ou por acordo entre as partes.</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TERCEIRA - DO PRAZO DE VIGÊNCIA</w:t>
      </w:r>
    </w:p>
    <w:p>
      <w:pPr>
        <w:pStyle w:val="Normal"/>
        <w:spacing w:lineRule="auto" w:line="360"/>
        <w:jc w:val="both"/>
        <w:rPr>
          <w:color w:val="auto"/>
        </w:rPr>
      </w:pPr>
      <w:r>
        <w:rPr>
          <w:rFonts w:eastAsia="Arial" w:cs="Arial" w:ascii="Arial" w:hAnsi="Arial"/>
          <w:b/>
          <w:color w:val="auto"/>
          <w:sz w:val="22"/>
          <w:szCs w:val="22"/>
        </w:rPr>
        <w:t xml:space="preserve">3.1 - </w:t>
      </w:r>
      <w:r>
        <w:rPr>
          <w:rFonts w:eastAsia="Arial" w:cs="Arial" w:ascii="Arial" w:hAnsi="Arial"/>
          <w:color w:val="auto"/>
          <w:sz w:val="22"/>
          <w:szCs w:val="22"/>
        </w:rPr>
        <w:t>O presente instrumento terá vigência até __________________, contados a partir da data de sua assinatura, podendo ser prorrogado na forma do art. 105 da Lei nº 14.133/21</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QUARTA - DO PAGAMENTO/RECEBIMENTO/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4.1 -</w:t>
      </w:r>
      <w:r>
        <w:rPr>
          <w:rFonts w:eastAsia="Arial" w:cs="Arial" w:ascii="Arial" w:hAnsi="Arial"/>
          <w:color w:val="auto"/>
          <w:sz w:val="22"/>
          <w:szCs w:val="22"/>
        </w:rPr>
        <w:t xml:space="preserve"> O pagamento pela efetiva entrega do objeto deste instrumento será efetuado conforme o que estabelece a Ata de Registro de Preços nº xxx/2024.</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QUINTA - DO REAJUSTAMENTO E DA MANUTENÇÃO DO EQUILÍBRIO ECONÔMICO-FINANCEIRO</w:t>
      </w:r>
    </w:p>
    <w:p>
      <w:pPr>
        <w:pStyle w:val="Normal"/>
        <w:spacing w:lineRule="auto" w:line="360"/>
        <w:jc w:val="both"/>
        <w:rPr>
          <w:color w:val="auto"/>
        </w:rPr>
      </w:pPr>
      <w:r>
        <w:rPr>
          <w:rFonts w:eastAsia="Arial" w:cs="Arial" w:ascii="Arial" w:hAnsi="Arial"/>
          <w:b/>
          <w:color w:val="auto"/>
          <w:sz w:val="22"/>
          <w:szCs w:val="22"/>
        </w:rPr>
        <w:t>5.1</w:t>
      </w:r>
      <w:r>
        <w:rPr>
          <w:rFonts w:eastAsia="Arial" w:cs="Arial" w:ascii="Arial" w:hAnsi="Arial"/>
          <w:color w:val="auto"/>
          <w:sz w:val="22"/>
          <w:szCs w:val="22"/>
        </w:rPr>
        <w:t xml:space="preserve"> – As condições de reajustamento constam na Ata de Registro de Preços nº xxx/2024.</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b/>
          <w:color w:val="auto"/>
          <w:sz w:val="22"/>
          <w:szCs w:val="22"/>
          <w:highlight w:val="lightGray"/>
        </w:rPr>
        <w:t>CLÁUSULA SEXTA – DA DOTAÇÃO ORÇAMENTÁRIA</w:t>
      </w:r>
    </w:p>
    <w:p>
      <w:pPr>
        <w:pStyle w:val="Normal"/>
        <w:spacing w:lineRule="auto" w:line="360"/>
        <w:jc w:val="both"/>
        <w:rPr>
          <w:color w:val="auto"/>
        </w:rPr>
      </w:pPr>
      <w:r>
        <w:rPr>
          <w:rFonts w:eastAsia="Arial" w:cs="Arial" w:ascii="Arial" w:hAnsi="Arial"/>
          <w:b/>
          <w:color w:val="auto"/>
          <w:sz w:val="22"/>
          <w:szCs w:val="22"/>
        </w:rPr>
        <w:t xml:space="preserve">6.1 - </w:t>
      </w:r>
      <w:r>
        <w:rPr>
          <w:rFonts w:eastAsia="Arial" w:cs="Arial" w:ascii="Arial" w:hAnsi="Arial"/>
          <w:color w:val="auto"/>
          <w:sz w:val="22"/>
          <w:szCs w:val="22"/>
        </w:rPr>
        <w:t>As despesas decorrentes do presente instrumento correrão à conta das seguintes dotações orçamentárias: 005003.1030255052.063.33903900000 Ficha 506 005003.1030155052.059.33903900000 Ficha 430 Fontes: 1500/1002; 1600; 1621; 2621.</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SÉTIMA – DAS OBRIGAÇÕES DA CONTRATADA</w:t>
      </w:r>
    </w:p>
    <w:p>
      <w:pPr>
        <w:pStyle w:val="Normal"/>
        <w:tabs>
          <w:tab w:val="clear" w:pos="720"/>
          <w:tab w:val="left" w:pos="284" w:leader="none"/>
          <w:tab w:val="left" w:pos="420" w:leader="none"/>
          <w:tab w:val="left" w:pos="567" w:leader="none"/>
        </w:tabs>
        <w:spacing w:lineRule="auto" w:line="360"/>
        <w:jc w:val="both"/>
        <w:rPr>
          <w:color w:val="auto"/>
        </w:rPr>
      </w:pPr>
      <w:r>
        <w:rPr>
          <w:rFonts w:eastAsia="Arial" w:cs="Arial" w:ascii="Arial" w:hAnsi="Arial"/>
          <w:b/>
          <w:color w:val="auto"/>
          <w:sz w:val="22"/>
          <w:szCs w:val="22"/>
        </w:rPr>
        <w:t>7.1</w:t>
      </w:r>
      <w:r>
        <w:rPr>
          <w:rFonts w:eastAsia="Arial" w:cs="Arial" w:ascii="Arial" w:hAnsi="Arial"/>
          <w:color w:val="auto"/>
          <w:sz w:val="22"/>
          <w:szCs w:val="22"/>
        </w:rPr>
        <w:t xml:space="preserve"> - Além de observar todas as normas e condições previstas no Edital do Pregão Eletrônico nº 009/2024 e seus anexos, incumbe à Contratada manter durante toda a execução do contrato, em compatibilidade com as obrigações por ela assumidas, as condições de qualificação e habilitação exigida na licitação à qual este se encontra vinculado, bem como, executar, com eficiência, pontualidade e qualidade, o objeto contratual; arcar com todas e quaisquer despesas decorrentes do fornecimento do objeto contratual.</w:t>
      </w:r>
    </w:p>
    <w:p>
      <w:pPr>
        <w:pStyle w:val="Normal"/>
        <w:tabs>
          <w:tab w:val="clear" w:pos="720"/>
          <w:tab w:val="left" w:pos="709" w:leader="none"/>
          <w:tab w:val="left" w:pos="900" w:leader="none"/>
          <w:tab w:val="left" w:pos="1080"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OITAVA - DAS OBRIGAÇÕES DO CONTRATANTE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b/>
          <w:color w:val="auto"/>
          <w:sz w:val="22"/>
          <w:szCs w:val="22"/>
        </w:rPr>
        <w:t>8.1 -</w:t>
      </w:r>
      <w:r>
        <w:rPr>
          <w:rFonts w:eastAsia="Arial" w:cs="Arial" w:ascii="Arial" w:hAnsi="Arial"/>
          <w:color w:val="auto"/>
          <w:sz w:val="22"/>
          <w:szCs w:val="22"/>
        </w:rPr>
        <w:t xml:space="preserve"> À Contratante compete as obrigações constante na ARP nº xx/2024, bem como efetuar o pagamento de acordo com o estabelecido no Edital e na ARP, e ainda acompanhar a execução contratual.</w:t>
      </w:r>
    </w:p>
    <w:p>
      <w:pPr>
        <w:pStyle w:val="Normal"/>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NONA - DA RESCISÃO</w:t>
      </w:r>
    </w:p>
    <w:p>
      <w:pPr>
        <w:pStyle w:val="Normal"/>
        <w:spacing w:lineRule="auto" w:line="360"/>
        <w:jc w:val="both"/>
        <w:rPr>
          <w:color w:val="auto"/>
        </w:rPr>
      </w:pPr>
      <w:r>
        <w:rPr>
          <w:rFonts w:eastAsia="Arial" w:cs="Arial" w:ascii="Arial" w:hAnsi="Arial"/>
          <w:b/>
          <w:color w:val="auto"/>
          <w:sz w:val="22"/>
          <w:szCs w:val="22"/>
        </w:rPr>
        <w:t>9.1</w:t>
      </w:r>
      <w:r>
        <w:rPr>
          <w:rFonts w:eastAsia="Arial" w:cs="Arial" w:ascii="Arial" w:hAnsi="Arial"/>
          <w:color w:val="auto"/>
          <w:sz w:val="22"/>
          <w:szCs w:val="22"/>
        </w:rPr>
        <w:t xml:space="preserve"> - O contrato celebrado poderá ser rescindido conforme estabelecido na Ata de Registro de Preços nº xxx/2024.</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 xml:space="preserve">CLÁUSULA DÉCIMA - DAS SANÇÕES ADMINISTRATIVAS </w:t>
      </w:r>
    </w:p>
    <w:p>
      <w:pPr>
        <w:pStyle w:val="Normal"/>
        <w:spacing w:lineRule="auto" w:line="360"/>
        <w:jc w:val="both"/>
        <w:rPr>
          <w:color w:val="auto"/>
        </w:rPr>
      </w:pPr>
      <w:r>
        <w:rPr>
          <w:rFonts w:eastAsia="Arial" w:cs="Arial" w:ascii="Arial" w:hAnsi="Arial"/>
          <w:b/>
          <w:color w:val="auto"/>
          <w:sz w:val="22"/>
          <w:szCs w:val="22"/>
        </w:rPr>
        <w:t>10.1 -</w:t>
      </w:r>
      <w:r>
        <w:rPr>
          <w:rFonts w:eastAsia="Arial" w:cs="Arial" w:ascii="Arial" w:hAnsi="Arial"/>
          <w:color w:val="auto"/>
          <w:sz w:val="22"/>
          <w:szCs w:val="22"/>
        </w:rPr>
        <w:t xml:space="preserve"> O descumprimento total ou parcial das obrigações assumidas pela </w:t>
      </w:r>
      <w:r>
        <w:rPr>
          <w:rFonts w:eastAsia="Arial" w:cs="Arial" w:ascii="Arial" w:hAnsi="Arial"/>
          <w:b/>
          <w:color w:val="auto"/>
          <w:sz w:val="22"/>
          <w:szCs w:val="22"/>
        </w:rPr>
        <w:t>CONTRATADA</w:t>
      </w:r>
      <w:r>
        <w:rPr>
          <w:rFonts w:eastAsia="Arial" w:cs="Arial" w:ascii="Arial" w:hAnsi="Arial"/>
          <w:color w:val="auto"/>
          <w:sz w:val="22"/>
          <w:szCs w:val="22"/>
        </w:rPr>
        <w:t xml:space="preserve"> serão aplicadas as sanções constantes na ARP nº xxx/2024.</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color w:val="auto"/>
        </w:rPr>
      </w:pPr>
      <w:r>
        <w:rPr>
          <w:rFonts w:eastAsia="Arial" w:cs="Arial" w:ascii="Arial" w:hAnsi="Arial"/>
          <w:b/>
          <w:color w:val="auto"/>
          <w:sz w:val="22"/>
          <w:szCs w:val="22"/>
          <w:highlight w:val="lightGray"/>
        </w:rPr>
        <w:t>CLÁUSULA DÉCIMA PRIMEIRA - DA CESSÃO</w:t>
      </w:r>
    </w:p>
    <w:p>
      <w:pPr>
        <w:pStyle w:val="Normal"/>
        <w:spacing w:lineRule="auto" w:line="360"/>
        <w:jc w:val="both"/>
        <w:rPr>
          <w:color w:val="auto"/>
        </w:rPr>
      </w:pPr>
      <w:r>
        <w:rPr>
          <w:rFonts w:eastAsia="Arial" w:cs="Arial" w:ascii="Arial" w:hAnsi="Arial"/>
          <w:b/>
          <w:color w:val="auto"/>
          <w:sz w:val="22"/>
          <w:szCs w:val="22"/>
        </w:rPr>
        <w:t xml:space="preserve">11.1 - </w:t>
      </w:r>
      <w:r>
        <w:rPr>
          <w:rFonts w:eastAsia="Arial" w:cs="Arial" w:ascii="Arial" w:hAnsi="Arial"/>
          <w:color w:val="auto"/>
          <w:sz w:val="22"/>
          <w:szCs w:val="22"/>
        </w:rPr>
        <w:t>A Contratada não poderá ceder ou transferir o contrato sem a autorização expressa da Contratante, exceto nos casos previstos em lei.</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SEGUNDA - DA FUNDAMENTAÇÃO LEGAL</w:t>
      </w:r>
    </w:p>
    <w:p>
      <w:pPr>
        <w:pStyle w:val="Normal"/>
        <w:spacing w:lineRule="auto" w:line="360"/>
        <w:jc w:val="both"/>
        <w:rPr>
          <w:color w:val="auto"/>
        </w:rPr>
      </w:pPr>
      <w:r>
        <w:rPr>
          <w:rFonts w:eastAsia="Arial" w:cs="Arial" w:ascii="Arial" w:hAnsi="Arial"/>
          <w:b/>
          <w:color w:val="auto"/>
          <w:sz w:val="22"/>
          <w:szCs w:val="22"/>
        </w:rPr>
        <w:t xml:space="preserve">12.1 - </w:t>
      </w:r>
      <w:r>
        <w:rPr>
          <w:rFonts w:eastAsia="Arial" w:cs="Arial" w:ascii="Arial" w:hAnsi="Arial"/>
          <w:color w:val="auto"/>
          <w:sz w:val="22"/>
          <w:szCs w:val="22"/>
        </w:rPr>
        <w:t>O presente contrato é regido pela Lei nº 14.133/21, Decreto Municipal 027/2024, bem como pelas cláusulas e condições constantes do Edital do Pregão Eletrônico nº 009/2024, Processo Licitatório nº 021/2024.</w:t>
      </w:r>
    </w:p>
    <w:p>
      <w:pPr>
        <w:pStyle w:val="Normal"/>
        <w:tabs>
          <w:tab w:val="clear" w:pos="720"/>
          <w:tab w:val="left" w:pos="3686" w:leader="none"/>
        </w:tabs>
        <w:spacing w:lineRule="auto" w:line="360"/>
        <w:jc w:val="both"/>
        <w:rPr>
          <w:color w:val="auto"/>
        </w:rPr>
      </w:pPr>
      <w:r>
        <w:rPr>
          <w:rFonts w:eastAsia="Arial" w:cs="Arial" w:ascii="Arial" w:hAnsi="Arial"/>
          <w:b/>
          <w:color w:val="auto"/>
          <w:sz w:val="22"/>
          <w:szCs w:val="22"/>
        </w:rPr>
        <w:t xml:space="preserve">12.2 - </w:t>
      </w:r>
      <w:r>
        <w:rPr>
          <w:rFonts w:eastAsia="Arial" w:cs="Arial" w:ascii="Arial" w:hAnsi="Arial"/>
          <w:color w:val="auto"/>
          <w:sz w:val="22"/>
          <w:szCs w:val="22"/>
        </w:rPr>
        <w:t>Os casos omissos serão resolvidos à luz da Lei Federal nº. 14.133/21, recorrendo-se à analogia, aos costumes e aos princípios gerais de direito.</w:t>
      </w:r>
    </w:p>
    <w:p>
      <w:pPr>
        <w:pStyle w:val="Normal"/>
        <w:tabs>
          <w:tab w:val="clear" w:pos="720"/>
          <w:tab w:val="left" w:pos="3686"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TERCEIRA – DA ALTERAÇÃO DO CONTRATO</w:t>
      </w:r>
    </w:p>
    <w:p>
      <w:pPr>
        <w:pStyle w:val="Normal"/>
        <w:tabs>
          <w:tab w:val="clear" w:pos="720"/>
          <w:tab w:val="left" w:pos="1425" w:leader="none"/>
        </w:tabs>
        <w:spacing w:lineRule="auto" w:line="360"/>
        <w:jc w:val="both"/>
        <w:rPr>
          <w:color w:val="auto"/>
        </w:rPr>
      </w:pPr>
      <w:r>
        <w:rPr>
          <w:rFonts w:eastAsia="Arial" w:cs="Arial" w:ascii="Arial" w:hAnsi="Arial"/>
          <w:b/>
          <w:color w:val="auto"/>
          <w:sz w:val="22"/>
          <w:szCs w:val="22"/>
        </w:rPr>
        <w:t xml:space="preserve">13.1 - </w:t>
      </w:r>
      <w:r>
        <w:rPr>
          <w:rFonts w:eastAsia="Arial" w:cs="Arial" w:ascii="Arial" w:hAnsi="Arial"/>
          <w:color w:val="auto"/>
          <w:sz w:val="22"/>
          <w:szCs w:val="22"/>
        </w:rPr>
        <w:t>O contrato poderá ser alterado, com as devidas justificativas, nos seguintes casos:</w:t>
      </w:r>
    </w:p>
    <w:p>
      <w:pPr>
        <w:pStyle w:val="Normal"/>
        <w:tabs>
          <w:tab w:val="clear" w:pos="720"/>
          <w:tab w:val="left" w:pos="1425" w:leader="none"/>
        </w:tabs>
        <w:spacing w:lineRule="auto" w:line="360"/>
        <w:jc w:val="both"/>
        <w:rPr>
          <w:color w:val="auto"/>
        </w:rPr>
      </w:pPr>
      <w:r>
        <w:rPr>
          <w:rFonts w:eastAsia="Arial" w:cs="Arial" w:ascii="Arial" w:hAnsi="Arial"/>
          <w:color w:val="auto"/>
          <w:sz w:val="22"/>
          <w:szCs w:val="22"/>
        </w:rPr>
        <w:t>I - Unilateralmente pela Administração:</w:t>
      </w:r>
    </w:p>
    <w:p>
      <w:pPr>
        <w:pStyle w:val="Normal"/>
        <w:spacing w:lineRule="auto" w:line="360"/>
        <w:jc w:val="both"/>
        <w:rPr>
          <w:color w:val="auto"/>
        </w:rPr>
      </w:pPr>
      <w:bookmarkStart w:id="14" w:name="bookmark=id.26in1rg"/>
      <w:bookmarkEnd w:id="14"/>
      <w:r>
        <w:rPr>
          <w:rFonts w:eastAsia="Arial" w:cs="Arial" w:ascii="Arial" w:hAnsi="Arial"/>
          <w:b/>
          <w:color w:val="auto"/>
          <w:sz w:val="22"/>
          <w:szCs w:val="22"/>
        </w:rPr>
        <w:t>a)</w:t>
      </w:r>
      <w:r>
        <w:rPr>
          <w:rFonts w:eastAsia="Arial" w:cs="Arial" w:ascii="Arial" w:hAnsi="Arial"/>
          <w:color w:val="auto"/>
          <w:sz w:val="22"/>
          <w:szCs w:val="22"/>
        </w:rPr>
        <w:t xml:space="preserve"> quando houver modificação do projeto ou das especificações, para melhor adequação técnica a seus objetivos;</w:t>
      </w:r>
    </w:p>
    <w:p>
      <w:pPr>
        <w:pStyle w:val="Normal"/>
        <w:spacing w:lineRule="auto" w:line="360"/>
        <w:jc w:val="both"/>
        <w:rPr>
          <w:color w:val="auto"/>
        </w:rPr>
      </w:pPr>
      <w:bookmarkStart w:id="15" w:name="bookmark=id.lnxbz9"/>
      <w:bookmarkEnd w:id="15"/>
      <w:r>
        <w:rPr>
          <w:rFonts w:eastAsia="Arial" w:cs="Arial" w:ascii="Arial" w:hAnsi="Arial"/>
          <w:b/>
          <w:color w:val="auto"/>
          <w:sz w:val="22"/>
          <w:szCs w:val="22"/>
        </w:rPr>
        <w:t>b)</w:t>
      </w:r>
      <w:r>
        <w:rPr>
          <w:rFonts w:eastAsia="Arial" w:cs="Arial" w:ascii="Arial" w:hAnsi="Arial"/>
          <w:color w:val="auto"/>
          <w:sz w:val="22"/>
          <w:szCs w:val="22"/>
        </w:rPr>
        <w:t xml:space="preserve"> quando for necessária a modificação do valor contratual em decorrência de acréscimo ou diminuição quantitativa de seu objeto, nos limites permitidos por esta Lei;</w:t>
      </w:r>
    </w:p>
    <w:p>
      <w:pPr>
        <w:pStyle w:val="Normal"/>
        <w:spacing w:lineRule="auto" w:line="360"/>
        <w:jc w:val="both"/>
        <w:rPr>
          <w:color w:val="auto"/>
        </w:rPr>
      </w:pPr>
      <w:bookmarkStart w:id="16" w:name="bookmark=id.35nkun2"/>
      <w:bookmarkEnd w:id="16"/>
      <w:r>
        <w:rPr>
          <w:rFonts w:eastAsia="Arial" w:cs="Arial" w:ascii="Arial" w:hAnsi="Arial"/>
          <w:color w:val="auto"/>
          <w:sz w:val="22"/>
          <w:szCs w:val="22"/>
        </w:rPr>
        <w:t>II - por acordo entre as partes:</w:t>
      </w:r>
    </w:p>
    <w:p>
      <w:pPr>
        <w:pStyle w:val="Normal"/>
        <w:spacing w:lineRule="auto" w:line="360"/>
        <w:jc w:val="both"/>
        <w:rPr>
          <w:color w:val="auto"/>
        </w:rPr>
      </w:pPr>
      <w:bookmarkStart w:id="17" w:name="bookmark=id.1ksv4uv"/>
      <w:bookmarkEnd w:id="17"/>
      <w:r>
        <w:rPr>
          <w:rFonts w:eastAsia="Arial" w:cs="Arial" w:ascii="Arial" w:hAnsi="Arial"/>
          <w:b/>
          <w:color w:val="auto"/>
          <w:sz w:val="22"/>
          <w:szCs w:val="22"/>
        </w:rPr>
        <w:t>a)</w:t>
      </w:r>
      <w:r>
        <w:rPr>
          <w:rFonts w:eastAsia="Arial" w:cs="Arial" w:ascii="Arial" w:hAnsi="Arial"/>
          <w:color w:val="auto"/>
          <w:sz w:val="22"/>
          <w:szCs w:val="22"/>
        </w:rPr>
        <w:t xml:space="preserve"> </w:t>
      </w:r>
      <w:bookmarkStart w:id="18" w:name="bookmark=id.44sinio"/>
      <w:bookmarkEnd w:id="18"/>
      <w:r>
        <w:rPr>
          <w:rFonts w:eastAsia="Arial" w:cs="Arial" w:ascii="Arial" w:hAnsi="Arial"/>
          <w:color w:val="auto"/>
          <w:sz w:val="22"/>
          <w:szCs w:val="22"/>
        </w:rPr>
        <w:t>quando necessária a modificação do modo de fornecimento, em face de verificação técnica da inaplicabilidade dos termos contratuais originários;</w:t>
      </w:r>
    </w:p>
    <w:p>
      <w:pPr>
        <w:pStyle w:val="Normal"/>
        <w:spacing w:lineRule="auto" w:line="360"/>
        <w:jc w:val="both"/>
        <w:rPr>
          <w:color w:val="auto"/>
        </w:rPr>
      </w:pPr>
      <w:bookmarkStart w:id="19" w:name="bookmark=id.2jxsxqh"/>
      <w:bookmarkEnd w:id="19"/>
      <w:r>
        <w:rPr>
          <w:rFonts w:eastAsia="Arial" w:cs="Arial" w:ascii="Arial" w:hAnsi="Arial"/>
          <w:b/>
          <w:color w:val="auto"/>
          <w:sz w:val="22"/>
          <w:szCs w:val="22"/>
        </w:rPr>
        <w:t>b)</w:t>
      </w:r>
      <w:r>
        <w:rPr>
          <w:rFonts w:eastAsia="Arial" w:cs="Arial" w:ascii="Arial" w:hAnsi="Arial"/>
          <w:color w:val="auto"/>
          <w:sz w:val="22"/>
          <w:szCs w:val="22"/>
        </w:rPr>
        <w:t xml:space="preserve">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dos bens;</w:t>
      </w:r>
    </w:p>
    <w:p>
      <w:pPr>
        <w:pStyle w:val="Normal"/>
        <w:spacing w:lineRule="auto" w:line="360"/>
        <w:jc w:val="both"/>
        <w:rPr>
          <w:color w:val="auto"/>
        </w:rPr>
      </w:pPr>
      <w:bookmarkStart w:id="20" w:name="bookmark=id.z337ya"/>
      <w:bookmarkEnd w:id="20"/>
      <w:r>
        <w:rPr>
          <w:rFonts w:eastAsia="Arial" w:cs="Arial" w:ascii="Arial" w:hAnsi="Arial"/>
          <w:b/>
          <w:color w:val="auto"/>
          <w:sz w:val="22"/>
          <w:szCs w:val="22"/>
        </w:rPr>
        <w:t>c)</w:t>
      </w:r>
      <w:r>
        <w:rPr>
          <w:rFonts w:eastAsia="Arial" w:cs="Arial" w:ascii="Arial" w:hAnsi="Arial"/>
          <w:color w:val="auto"/>
          <w:sz w:val="22"/>
          <w:szCs w:val="22"/>
        </w:rPr>
        <w:t xml:space="preserve">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pPr>
        <w:pStyle w:val="Normal"/>
        <w:spacing w:lineRule="auto" w:line="360"/>
        <w:jc w:val="both"/>
        <w:rPr>
          <w:color w:val="auto"/>
        </w:rPr>
      </w:pPr>
      <w:r>
        <w:rPr>
          <w:rFonts w:eastAsia="Arial" w:cs="Arial" w:ascii="Arial" w:hAnsi="Arial"/>
          <w:color w:val="auto"/>
          <w:sz w:val="22"/>
          <w:szCs w:val="22"/>
        </w:rPr>
        <w:t xml:space="preserve">A solicitação de alteração de preços visando o restabelecimento do equilíbrio econômico-financeiro, deverá ser formalizado por escrito e devidamente motivado e justificado, devendo ainda o Fornecedor Registrado comprovar o aumento ou redução dos preços. </w:t>
      </w:r>
    </w:p>
    <w:p>
      <w:pPr>
        <w:pStyle w:val="Normal"/>
        <w:spacing w:lineRule="auto" w:line="360"/>
        <w:jc w:val="both"/>
        <w:rPr>
          <w:color w:val="auto"/>
        </w:rPr>
      </w:pPr>
      <w:r>
        <w:rPr>
          <w:rFonts w:eastAsia="Arial" w:cs="Arial" w:ascii="Arial" w:hAnsi="Arial"/>
          <w:color w:val="auto"/>
          <w:sz w:val="22"/>
          <w:szCs w:val="22"/>
        </w:rPr>
        <w:t>A resposta para o pedido de restabelecimento do equilíbrio econômico-financeiro será de 30 (trinta) diasapós seu protocolo.</w:t>
      </w:r>
    </w:p>
    <w:p>
      <w:pPr>
        <w:pStyle w:val="Normal"/>
        <w:tabs>
          <w:tab w:val="clear" w:pos="720"/>
          <w:tab w:val="left" w:pos="1425" w:leader="none"/>
        </w:tabs>
        <w:spacing w:lineRule="auto" w:line="360"/>
        <w:jc w:val="both"/>
        <w:rPr>
          <w:color w:val="auto"/>
        </w:rPr>
      </w:pPr>
      <w:r>
        <w:rPr>
          <w:rFonts w:eastAsia="Arial" w:cs="Arial" w:ascii="Arial" w:hAnsi="Arial"/>
          <w:b/>
          <w:color w:val="auto"/>
          <w:sz w:val="22"/>
          <w:szCs w:val="22"/>
        </w:rPr>
        <w:t xml:space="preserve">13.2 - </w:t>
      </w:r>
      <w:r>
        <w:rPr>
          <w:rFonts w:eastAsia="Arial" w:cs="Arial" w:ascii="Arial" w:hAnsi="Arial"/>
          <w:color w:val="auto"/>
          <w:sz w:val="22"/>
          <w:szCs w:val="22"/>
        </w:rPr>
        <w:t>O contratado será obrigado a aceitar, nas mesmas condições contratuais, acréscimos ou supressões de até 25% (vinte e cinco por cento) do valor inicial atualizado do contrato.</w:t>
      </w:r>
    </w:p>
    <w:p>
      <w:pPr>
        <w:pStyle w:val="Normal"/>
        <w:tabs>
          <w:tab w:val="clear" w:pos="720"/>
          <w:tab w:val="left" w:pos="1425"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QUARTA – DA GESTÃO DE CONTRATO</w:t>
      </w:r>
    </w:p>
    <w:p>
      <w:pPr>
        <w:pStyle w:val="Normal"/>
        <w:spacing w:lineRule="auto" w:line="360"/>
        <w:jc w:val="both"/>
        <w:rPr>
          <w:color w:val="auto"/>
        </w:rPr>
      </w:pPr>
      <w:r>
        <w:rPr>
          <w:rFonts w:eastAsia="Arial" w:cs="Arial" w:ascii="Arial" w:hAnsi="Arial"/>
          <w:b/>
          <w:color w:val="auto"/>
          <w:sz w:val="22"/>
          <w:szCs w:val="22"/>
        </w:rPr>
        <w:t xml:space="preserve">14.1 - </w:t>
      </w:r>
      <w:r>
        <w:rPr>
          <w:rFonts w:eastAsia="Arial" w:cs="Arial" w:ascii="Arial" w:hAnsi="Arial"/>
          <w:color w:val="auto"/>
          <w:sz w:val="22"/>
          <w:szCs w:val="22"/>
        </w:rPr>
        <w:t>A gestão dos contratos será desenvolvida pelo Secretário Municipal responsável pela demanda de contratação e/ou adstrito a unidade gestora do contrato, admitida a delegação conforme estabelecer ato próprio e específico, para exercício das funções estabelecidas, conforme Decreto Municipal nº 019/2024.</w:t>
      </w:r>
    </w:p>
    <w:p>
      <w:pPr>
        <w:pStyle w:val="Normal"/>
        <w:tabs>
          <w:tab w:val="clear" w:pos="720"/>
          <w:tab w:val="left" w:pos="1425" w:leader="none"/>
        </w:tabs>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QUINTA – DA EXTINÇAO DO CONTRATO</w:t>
      </w:r>
    </w:p>
    <w:p>
      <w:pPr>
        <w:pStyle w:val="Normal"/>
        <w:spacing w:lineRule="auto" w:line="360"/>
        <w:jc w:val="both"/>
        <w:rPr>
          <w:color w:val="auto"/>
        </w:rPr>
      </w:pPr>
      <w:r>
        <w:rPr>
          <w:rFonts w:eastAsia="Arial" w:cs="Arial" w:ascii="Arial" w:hAnsi="Arial"/>
          <w:b/>
          <w:color w:val="auto"/>
          <w:sz w:val="22"/>
          <w:szCs w:val="22"/>
        </w:rPr>
        <w:t xml:space="preserve">15.1. </w:t>
      </w:r>
      <w:r>
        <w:rPr>
          <w:rFonts w:eastAsia="Arial" w:cs="Arial" w:ascii="Arial" w:hAnsi="Arial"/>
          <w:color w:val="auto"/>
          <w:sz w:val="22"/>
          <w:szCs w:val="22"/>
        </w:rPr>
        <w:t>A Administração poderá optar pela extinção do contrato nos casos previstos na Lei Federal 14.133/2021.</w:t>
      </w:r>
    </w:p>
    <w:p>
      <w:pPr>
        <w:pStyle w:val="Normal"/>
        <w:tabs>
          <w:tab w:val="clear" w:pos="720"/>
          <w:tab w:val="left" w:pos="1425" w:leader="none"/>
        </w:tabs>
        <w:spacing w:lineRule="auto" w:line="360"/>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360"/>
        <w:jc w:val="both"/>
        <w:rPr>
          <w:color w:val="auto"/>
        </w:rPr>
      </w:pPr>
      <w:r>
        <w:rPr>
          <w:rFonts w:eastAsia="Arial" w:cs="Arial" w:ascii="Arial" w:hAnsi="Arial"/>
          <w:b/>
          <w:color w:val="auto"/>
          <w:sz w:val="22"/>
          <w:szCs w:val="22"/>
          <w:highlight w:val="lightGray"/>
        </w:rPr>
        <w:t>CLÁUSULA DÉCIMA SEXTA - DO FORO</w:t>
      </w:r>
    </w:p>
    <w:p>
      <w:pPr>
        <w:pStyle w:val="Normal"/>
        <w:spacing w:lineRule="auto" w:line="360"/>
        <w:jc w:val="both"/>
        <w:rPr>
          <w:color w:val="auto"/>
        </w:rPr>
      </w:pPr>
      <w:r>
        <w:rPr>
          <w:rFonts w:eastAsia="Arial" w:cs="Arial" w:ascii="Arial" w:hAnsi="Arial"/>
          <w:b/>
          <w:color w:val="auto"/>
          <w:sz w:val="22"/>
          <w:szCs w:val="22"/>
        </w:rPr>
        <w:t xml:space="preserve">16.1 - </w:t>
      </w:r>
      <w:r>
        <w:rPr>
          <w:rFonts w:eastAsia="Arial" w:cs="Arial" w:ascii="Arial" w:hAnsi="Arial"/>
          <w:color w:val="auto"/>
          <w:sz w:val="22"/>
          <w:szCs w:val="22"/>
        </w:rPr>
        <w:t>As questões decorrentes da execução deste Instrumento, que não possam ser dirimidas administrativamente, serão processadas e julgadas no Foro da Comarca de Araçuaí/Minas Gerais, com exclusão de qualquer outro por mais privilegiado que seja.</w:t>
      </w:r>
    </w:p>
    <w:p>
      <w:pPr>
        <w:pStyle w:val="Normal"/>
        <w:spacing w:lineRule="auto" w:line="360"/>
        <w:jc w:val="both"/>
        <w:rPr>
          <w:color w:val="auto"/>
        </w:rPr>
      </w:pPr>
      <w:r>
        <w:rPr>
          <w:rFonts w:eastAsia="Arial" w:cs="Arial" w:ascii="Arial" w:hAnsi="Arial"/>
          <w:color w:val="auto"/>
          <w:sz w:val="22"/>
          <w:szCs w:val="22"/>
        </w:rPr>
        <w:t xml:space="preserve">E, para firmeza e validade do que foi pactuado, lavrou-se o presente Contrato, para que surtam um só efeito, às quais, depois de lidas, são assinadas pelas representantes das partes, </w:t>
      </w:r>
      <w:r>
        <w:rPr>
          <w:rFonts w:eastAsia="Arial" w:cs="Arial" w:ascii="Arial" w:hAnsi="Arial"/>
          <w:b/>
          <w:color w:val="auto"/>
          <w:sz w:val="22"/>
          <w:szCs w:val="22"/>
        </w:rPr>
        <w:t>CONTRATANTE</w:t>
      </w:r>
      <w:r>
        <w:rPr>
          <w:rFonts w:eastAsia="Arial" w:cs="Arial" w:ascii="Arial" w:hAnsi="Arial"/>
          <w:color w:val="auto"/>
          <w:sz w:val="22"/>
          <w:szCs w:val="22"/>
        </w:rPr>
        <w:t xml:space="preserve"> e </w:t>
      </w:r>
      <w:r>
        <w:rPr>
          <w:rFonts w:eastAsia="Arial" w:cs="Arial" w:ascii="Arial" w:hAnsi="Arial"/>
          <w:b/>
          <w:color w:val="auto"/>
          <w:sz w:val="22"/>
          <w:szCs w:val="22"/>
        </w:rPr>
        <w:t>CONTRATADA</w:t>
      </w:r>
      <w:r>
        <w:rPr>
          <w:rFonts w:eastAsia="Arial" w:cs="Arial" w:ascii="Arial" w:hAnsi="Arial"/>
          <w:color w:val="auto"/>
          <w:sz w:val="22"/>
          <w:szCs w:val="22"/>
        </w:rPr>
        <w:t>, e pelas testemunhas abaixo.</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360"/>
        <w:jc w:val="both"/>
        <w:rPr>
          <w:color w:val="auto"/>
        </w:rPr>
      </w:pPr>
      <w:r>
        <w:rPr>
          <w:rFonts w:eastAsia="Arial" w:cs="Arial" w:ascii="Arial" w:hAnsi="Arial"/>
          <w:b/>
          <w:color w:val="auto"/>
          <w:sz w:val="22"/>
          <w:szCs w:val="22"/>
        </w:rPr>
        <w:t>Local e Data.</w:t>
      </w:r>
    </w:p>
    <w:p>
      <w:pPr>
        <w:pStyle w:val="Normal"/>
        <w:spacing w:lineRule="auto" w:line="360"/>
        <w:jc w:val="both"/>
        <w:rPr>
          <w:color w:val="auto"/>
        </w:rPr>
      </w:pPr>
      <w:r>
        <w:rPr>
          <w:rFonts w:eastAsia="Arial" w:cs="Arial" w:ascii="Arial" w:hAnsi="Arial"/>
          <w:color w:val="auto"/>
          <w:sz w:val="22"/>
          <w:szCs w:val="22"/>
        </w:rPr>
        <w:t xml:space="preserve">                         </w:t>
      </w:r>
    </w:p>
    <w:p>
      <w:pPr>
        <w:pStyle w:val="Normal"/>
        <w:spacing w:lineRule="auto" w:line="360"/>
        <w:jc w:val="both"/>
        <w:rPr>
          <w:rFonts w:ascii="Arial" w:hAnsi="Arial" w:eastAsia="Arial" w:cs="Arial"/>
          <w:color w:val="auto"/>
          <w:sz w:val="22"/>
          <w:szCs w:val="22"/>
        </w:rPr>
      </w:pPr>
      <w:r>
        <w:rPr>
          <w:rFonts w:eastAsia="Arial" w:cs="Arial" w:ascii="Arial" w:hAnsi="Arial"/>
          <w:color w:val="auto"/>
          <w:sz w:val="22"/>
          <w:szCs w:val="22"/>
        </w:rPr>
      </w:r>
    </w:p>
    <w:p>
      <w:pPr>
        <w:pStyle w:val="Normal"/>
        <w:tabs>
          <w:tab w:val="clear" w:pos="720"/>
          <w:tab w:val="left" w:pos="3401" w:leader="none"/>
        </w:tabs>
        <w:spacing w:lineRule="auto" w:line="360"/>
        <w:jc w:val="both"/>
        <w:rPr>
          <w:color w:val="auto"/>
        </w:rPr>
      </w:pPr>
      <w:r>
        <w:rPr>
          <w:rFonts w:eastAsia="Arial" w:cs="Arial" w:ascii="Arial" w:hAnsi="Arial"/>
          <w:b/>
          <w:i/>
          <w:color w:val="auto"/>
          <w:sz w:val="22"/>
          <w:szCs w:val="22"/>
        </w:rPr>
        <w:t>Secretário Municipal de Saúde                                    Representante Legal do</w:t>
        <w:tab/>
        <w:t>Fornecedor</w:t>
      </w:r>
    </w:p>
    <w:p>
      <w:pPr>
        <w:pStyle w:val="Normal"/>
        <w:tabs>
          <w:tab w:val="clear" w:pos="720"/>
          <w:tab w:val="left" w:pos="3401" w:leader="none"/>
        </w:tabs>
        <w:spacing w:lineRule="auto" w:line="360"/>
        <w:jc w:val="both"/>
        <w:rPr>
          <w:rFonts w:ascii="Arial" w:hAnsi="Arial" w:eastAsia="Arial" w:cs="Arial"/>
          <w:b/>
          <w:b/>
          <w:i/>
          <w:i/>
          <w:color w:val="auto"/>
          <w:sz w:val="22"/>
          <w:szCs w:val="22"/>
        </w:rPr>
      </w:pPr>
      <w:r>
        <w:rPr>
          <w:rFonts w:eastAsia="Arial" w:cs="Arial" w:ascii="Arial" w:hAnsi="Arial"/>
          <w:b/>
          <w:i/>
          <w:color w:val="auto"/>
          <w:sz w:val="22"/>
          <w:szCs w:val="22"/>
        </w:rPr>
      </w:r>
    </w:p>
    <w:p>
      <w:pPr>
        <w:pStyle w:val="Normal"/>
        <w:spacing w:lineRule="auto" w:line="360"/>
        <w:jc w:val="both"/>
        <w:rPr>
          <w:color w:val="auto"/>
        </w:rPr>
      </w:pPr>
      <w:r>
        <w:rPr>
          <w:rFonts w:eastAsia="Arial" w:cs="Arial" w:ascii="Arial" w:hAnsi="Arial"/>
          <w:b/>
          <w:i/>
          <w:color w:val="auto"/>
          <w:sz w:val="22"/>
          <w:szCs w:val="22"/>
        </w:rPr>
        <w:t xml:space="preserve">                     </w:t>
      </w:r>
    </w:p>
    <w:p>
      <w:pPr>
        <w:pStyle w:val="Normal"/>
        <w:spacing w:lineRule="auto" w:line="360"/>
        <w:jc w:val="both"/>
        <w:rPr>
          <w:color w:val="auto"/>
        </w:rPr>
      </w:pPr>
      <w:r>
        <w:rPr>
          <w:rFonts w:eastAsia="Arial" w:cs="Arial" w:ascii="Arial" w:hAnsi="Arial"/>
          <w:b/>
          <w:i/>
          <w:color w:val="auto"/>
          <w:sz w:val="22"/>
          <w:szCs w:val="22"/>
        </w:rPr>
        <w:t xml:space="preserve">TESTEMUNHAS: </w:t>
      </w:r>
    </w:p>
    <w:p>
      <w:pPr>
        <w:pStyle w:val="Normal"/>
        <w:spacing w:lineRule="auto" w:line="360"/>
        <w:jc w:val="both"/>
        <w:rPr>
          <w:color w:val="auto"/>
        </w:rPr>
      </w:pPr>
      <w:r>
        <w:rPr>
          <w:rFonts w:eastAsia="Arial" w:cs="Arial" w:ascii="Arial" w:hAnsi="Arial"/>
          <w:b/>
          <w:i/>
          <w:color w:val="auto"/>
          <w:sz w:val="22"/>
          <w:szCs w:val="22"/>
        </w:rPr>
        <w:t>_______________________________________</w:t>
      </w:r>
    </w:p>
    <w:p>
      <w:pPr>
        <w:pStyle w:val="Normal"/>
        <w:spacing w:lineRule="auto" w:line="360"/>
        <w:jc w:val="both"/>
        <w:rPr>
          <w:color w:val="auto"/>
        </w:rPr>
      </w:pPr>
      <w:r>
        <w:rPr>
          <w:rFonts w:eastAsia="Arial" w:cs="Arial" w:ascii="Arial" w:hAnsi="Arial"/>
          <w:b/>
          <w:i/>
          <w:color w:val="auto"/>
          <w:sz w:val="22"/>
          <w:szCs w:val="22"/>
        </w:rPr>
        <w:t xml:space="preserve">NOME: </w:t>
      </w:r>
    </w:p>
    <w:p>
      <w:pPr>
        <w:pStyle w:val="Normal"/>
        <w:spacing w:lineRule="auto" w:line="360"/>
        <w:jc w:val="both"/>
        <w:rPr>
          <w:color w:val="auto"/>
        </w:rPr>
      </w:pPr>
      <w:r>
        <w:rPr>
          <w:rFonts w:eastAsia="Arial" w:cs="Arial" w:ascii="Arial" w:hAnsi="Arial"/>
          <w:b/>
          <w:i/>
          <w:color w:val="auto"/>
          <w:sz w:val="22"/>
          <w:szCs w:val="22"/>
        </w:rPr>
        <w:t xml:space="preserve">CPF: </w:t>
      </w:r>
    </w:p>
    <w:p>
      <w:pPr>
        <w:pStyle w:val="Normal"/>
        <w:spacing w:lineRule="auto" w:line="360"/>
        <w:jc w:val="both"/>
        <w:rPr>
          <w:color w:val="auto"/>
        </w:rPr>
      </w:pPr>
      <w:r>
        <w:rPr>
          <w:rFonts w:eastAsia="Arial" w:cs="Arial" w:ascii="Arial" w:hAnsi="Arial"/>
          <w:b/>
          <w:i/>
          <w:color w:val="auto"/>
          <w:sz w:val="22"/>
          <w:szCs w:val="22"/>
        </w:rPr>
        <w:t>_______________________________________</w:t>
      </w:r>
    </w:p>
    <w:p>
      <w:pPr>
        <w:pStyle w:val="Normal"/>
        <w:spacing w:lineRule="auto" w:line="360"/>
        <w:jc w:val="both"/>
        <w:rPr>
          <w:color w:val="auto"/>
        </w:rPr>
      </w:pPr>
      <w:r>
        <w:rPr>
          <w:rFonts w:eastAsia="Arial" w:cs="Arial" w:ascii="Arial" w:hAnsi="Arial"/>
          <w:b/>
          <w:i/>
          <w:color w:val="auto"/>
          <w:sz w:val="22"/>
          <w:szCs w:val="22"/>
        </w:rPr>
        <w:t xml:space="preserve">NOME: </w:t>
      </w:r>
    </w:p>
    <w:p>
      <w:pPr>
        <w:pStyle w:val="Normal"/>
        <w:spacing w:lineRule="auto" w:line="360"/>
        <w:jc w:val="both"/>
        <w:rPr>
          <w:color w:val="auto"/>
        </w:rPr>
      </w:pPr>
      <w:r>
        <w:rPr>
          <w:rFonts w:eastAsia="Arial" w:cs="Arial" w:ascii="Arial" w:hAnsi="Arial"/>
          <w:b/>
          <w:i/>
          <w:color w:val="auto"/>
          <w:sz w:val="22"/>
          <w:szCs w:val="22"/>
        </w:rPr>
        <w:t xml:space="preserve">CPF:  </w:t>
      </w:r>
    </w:p>
    <w:p>
      <w:pPr>
        <w:pStyle w:val="Normal"/>
        <w:spacing w:lineRule="auto" w:line="360"/>
        <w:rPr>
          <w:color w:val="auto"/>
        </w:rPr>
      </w:pPr>
      <w:r>
        <w:rPr/>
      </w:r>
    </w:p>
    <w:sectPr>
      <w:headerReference w:type="default" r:id="rId14"/>
      <w:footerReference w:type="even" r:id="rId15"/>
      <w:footerReference w:type="default" r:id="rId16"/>
      <w:footerReference w:type="first" r:id="rId17"/>
      <w:footnotePr>
        <w:numFmt w:val="decimal"/>
      </w:footnotePr>
      <w:type w:val="nextPage"/>
      <w:pgSz w:w="11906" w:h="16838"/>
      <w:pgMar w:left="1418" w:right="1134" w:gutter="0" w:header="680" w:top="1701" w:footer="680" w:bottom="73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ucida Casual">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Arial Narrow">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419" w:leader="none"/>
        <w:tab w:val="right" w:pos="8838" w:leader="none"/>
      </w:tabs>
      <w:jc w:val="right"/>
      <w:rPr>
        <w:color w:val="000000"/>
        <w:sz w:val="28"/>
        <w:szCs w:val="28"/>
      </w:rPr>
    </w:pPr>
    <w:r>
      <w:rPr>
        <w:color w:val="000000"/>
        <w:sz w:val="28"/>
        <w:szCs w:val="28"/>
      </w:rPr>
      <w:fldChar w:fldCharType="begin"/>
    </w:r>
    <w:r>
      <w:rPr>
        <w:sz w:val="28"/>
        <w:szCs w:val="28"/>
        <w:color w:val="000000"/>
      </w:rPr>
      <w:instrText> PAGE </w:instrText>
    </w:r>
    <w:r>
      <w:rPr>
        <w:sz w:val="28"/>
        <w:szCs w:val="28"/>
        <w:color w:val="000000"/>
      </w:rPr>
      <w:fldChar w:fldCharType="separate"/>
    </w:r>
    <w:r>
      <w:rPr>
        <w:sz w:val="28"/>
        <w:szCs w:val="28"/>
        <w:color w:val="000000"/>
      </w:rPr>
      <w:t>0</w:t>
    </w:r>
    <w:r>
      <w:rPr>
        <w:sz w:val="28"/>
        <w:szCs w:val="28"/>
        <w:color w:val="000000"/>
      </w:rPr>
      <w:fldChar w:fldCharType="end"/>
    </w:r>
  </w:p>
  <w:p>
    <w:pPr>
      <w:pStyle w:val="Normal"/>
      <w:tabs>
        <w:tab w:val="clear" w:pos="720"/>
        <w:tab w:val="center" w:pos="4419" w:leader="none"/>
        <w:tab w:val="right" w:pos="8838" w:leader="none"/>
      </w:tabs>
      <w:ind w:right="360" w:hanging="0"/>
      <w:rPr>
        <w:color w:val="000000"/>
        <w:sz w:val="28"/>
        <w:szCs w:val="28"/>
      </w:rPr>
    </w:pPr>
    <w:r>
      <w:rPr>
        <w:color w:val="000000"/>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single" w:sz="12" w:space="1" w:color="1F3864"/>
      </w:pBdr>
      <w:jc w:val="center"/>
      <w:rPr>
        <w:bCs/>
        <w:color w:val="808080"/>
        <w:sz w:val="4"/>
      </w:rPr>
    </w:pPr>
    <w:r>
      <w:rPr>
        <w:bCs/>
        <w:color w:val="808080"/>
        <w:sz w:val="4"/>
      </w:rPr>
    </w:r>
  </w:p>
  <w:p>
    <w:pPr>
      <w:pStyle w:val="Rodap"/>
      <w:pBdr>
        <w:top w:val="single" w:sz="12" w:space="1" w:color="1F3864"/>
      </w:pBdr>
      <w:jc w:val="right"/>
      <w:rPr>
        <w:rFonts w:ascii="Arial" w:hAnsi="Arial" w:cs="Arial"/>
        <w:bCs/>
        <w:color w:val="000000"/>
        <w:sz w:val="18"/>
        <w:szCs w:val="20"/>
      </w:rPr>
    </w:pPr>
    <w:r>
      <w:rPr>
        <w:rFonts w:cs="Arial" w:ascii="Arial" w:hAnsi="Arial"/>
        <w:bCs/>
        <w:color w:val="000000"/>
        <w:sz w:val="18"/>
        <w:szCs w:val="20"/>
      </w:rPr>
      <w:t xml:space="preserve">Página </w:t>
    </w:r>
    <w:r>
      <w:rPr>
        <w:rFonts w:cs="Arial" w:ascii="Arial" w:hAnsi="Arial"/>
        <w:b/>
        <w:bCs/>
        <w:color w:val="000000"/>
        <w:sz w:val="18"/>
        <w:szCs w:val="20"/>
      </w:rPr>
      <w:fldChar w:fldCharType="begin"/>
    </w:r>
    <w:r>
      <w:rPr>
        <w:sz w:val="18"/>
        <w:b/>
        <w:szCs w:val="20"/>
        <w:bCs/>
        <w:rFonts w:cs="Arial" w:ascii="Arial" w:hAnsi="Arial"/>
        <w:color w:val="000000"/>
      </w:rPr>
      <w:instrText> PAGE </w:instrText>
    </w:r>
    <w:r>
      <w:rPr>
        <w:sz w:val="18"/>
        <w:b/>
        <w:szCs w:val="20"/>
        <w:bCs/>
        <w:rFonts w:cs="Arial" w:ascii="Arial" w:hAnsi="Arial"/>
        <w:color w:val="000000"/>
      </w:rPr>
      <w:fldChar w:fldCharType="separate"/>
    </w:r>
    <w:r>
      <w:rPr>
        <w:sz w:val="18"/>
        <w:b/>
        <w:szCs w:val="20"/>
        <w:bCs/>
        <w:rFonts w:cs="Arial" w:ascii="Arial" w:hAnsi="Arial"/>
        <w:color w:val="000000"/>
      </w:rPr>
      <w:t>41</w:t>
    </w:r>
    <w:r>
      <w:rPr>
        <w:sz w:val="18"/>
        <w:b/>
        <w:szCs w:val="20"/>
        <w:bCs/>
        <w:rFonts w:cs="Arial" w:ascii="Arial" w:hAnsi="Arial"/>
        <w:color w:val="000000"/>
      </w:rPr>
      <w:fldChar w:fldCharType="end"/>
    </w:r>
    <w:r>
      <w:rPr>
        <w:rFonts w:cs="Arial" w:ascii="Arial" w:hAnsi="Arial"/>
        <w:bCs/>
        <w:color w:val="000000"/>
        <w:sz w:val="18"/>
        <w:szCs w:val="20"/>
      </w:rPr>
      <w:t xml:space="preserve"> de </w:t>
    </w:r>
    <w:r>
      <w:rPr>
        <w:rFonts w:cs="Arial" w:ascii="Arial" w:hAnsi="Arial"/>
        <w:b/>
        <w:bCs/>
        <w:color w:val="000000"/>
        <w:sz w:val="18"/>
        <w:szCs w:val="20"/>
      </w:rPr>
      <w:fldChar w:fldCharType="begin"/>
    </w:r>
    <w:r>
      <w:rPr>
        <w:sz w:val="18"/>
        <w:b/>
        <w:szCs w:val="20"/>
        <w:bCs/>
        <w:rFonts w:cs="Arial" w:ascii="Arial" w:hAnsi="Arial"/>
        <w:color w:val="000000"/>
      </w:rPr>
      <w:instrText> NUMPAGES </w:instrText>
    </w:r>
    <w:r>
      <w:rPr>
        <w:sz w:val="18"/>
        <w:b/>
        <w:szCs w:val="20"/>
        <w:bCs/>
        <w:rFonts w:cs="Arial" w:ascii="Arial" w:hAnsi="Arial"/>
        <w:color w:val="000000"/>
      </w:rPr>
      <w:fldChar w:fldCharType="separate"/>
    </w:r>
    <w:r>
      <w:rPr>
        <w:sz w:val="18"/>
        <w:b/>
        <w:szCs w:val="20"/>
        <w:bCs/>
        <w:rFonts w:cs="Arial" w:ascii="Arial" w:hAnsi="Arial"/>
        <w:color w:val="000000"/>
      </w:rPr>
      <w:t>41</w:t>
    </w:r>
    <w:r>
      <w:rPr>
        <w:sz w:val="18"/>
        <w:b/>
        <w:szCs w:val="20"/>
        <w:bCs/>
        <w:rFonts w:cs="Arial" w:ascii="Arial" w:hAnsi="Arial"/>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single" w:sz="12" w:space="1" w:color="1F3864"/>
      </w:pBdr>
      <w:jc w:val="center"/>
      <w:rPr>
        <w:bCs/>
        <w:color w:val="808080"/>
        <w:sz w:val="4"/>
      </w:rPr>
    </w:pPr>
    <w:r>
      <w:rPr>
        <w:bCs/>
        <w:color w:val="808080"/>
        <w:sz w:val="4"/>
      </w:rPr>
    </w:r>
  </w:p>
  <w:p>
    <w:pPr>
      <w:pStyle w:val="Rodap"/>
      <w:pBdr>
        <w:top w:val="single" w:sz="12" w:space="1" w:color="1F3864"/>
      </w:pBdr>
      <w:jc w:val="right"/>
      <w:rPr>
        <w:rFonts w:ascii="Arial" w:hAnsi="Arial" w:cs="Arial"/>
        <w:bCs/>
        <w:color w:val="000000"/>
        <w:sz w:val="18"/>
        <w:szCs w:val="20"/>
      </w:rPr>
    </w:pPr>
    <w:r>
      <w:rPr>
        <w:rFonts w:cs="Arial" w:ascii="Arial" w:hAnsi="Arial"/>
        <w:bCs/>
        <w:color w:val="000000"/>
        <w:sz w:val="18"/>
        <w:szCs w:val="20"/>
      </w:rPr>
      <w:t xml:space="preserve">Página </w:t>
    </w:r>
    <w:r>
      <w:rPr>
        <w:rFonts w:cs="Arial" w:ascii="Arial" w:hAnsi="Arial"/>
        <w:b/>
        <w:bCs/>
        <w:color w:val="000000"/>
        <w:sz w:val="18"/>
        <w:szCs w:val="20"/>
      </w:rPr>
      <w:fldChar w:fldCharType="begin"/>
    </w:r>
    <w:r>
      <w:rPr>
        <w:sz w:val="18"/>
        <w:b/>
        <w:szCs w:val="20"/>
        <w:bCs/>
        <w:rFonts w:cs="Arial" w:ascii="Arial" w:hAnsi="Arial"/>
        <w:color w:val="000000"/>
      </w:rPr>
      <w:instrText> PAGE </w:instrText>
    </w:r>
    <w:r>
      <w:rPr>
        <w:sz w:val="18"/>
        <w:b/>
        <w:szCs w:val="20"/>
        <w:bCs/>
        <w:rFonts w:cs="Arial" w:ascii="Arial" w:hAnsi="Arial"/>
        <w:color w:val="000000"/>
      </w:rPr>
      <w:fldChar w:fldCharType="separate"/>
    </w:r>
    <w:r>
      <w:rPr>
        <w:sz w:val="18"/>
        <w:b/>
        <w:szCs w:val="20"/>
        <w:bCs/>
        <w:rFonts w:cs="Arial" w:ascii="Arial" w:hAnsi="Arial"/>
        <w:color w:val="000000"/>
      </w:rPr>
      <w:t>41</w:t>
    </w:r>
    <w:r>
      <w:rPr>
        <w:sz w:val="18"/>
        <w:b/>
        <w:szCs w:val="20"/>
        <w:bCs/>
        <w:rFonts w:cs="Arial" w:ascii="Arial" w:hAnsi="Arial"/>
        <w:color w:val="000000"/>
      </w:rPr>
      <w:fldChar w:fldCharType="end"/>
    </w:r>
    <w:r>
      <w:rPr>
        <w:rFonts w:cs="Arial" w:ascii="Arial" w:hAnsi="Arial"/>
        <w:bCs/>
        <w:color w:val="000000"/>
        <w:sz w:val="18"/>
        <w:szCs w:val="20"/>
      </w:rPr>
      <w:t xml:space="preserve"> de </w:t>
    </w:r>
    <w:r>
      <w:rPr>
        <w:rFonts w:cs="Arial" w:ascii="Arial" w:hAnsi="Arial"/>
        <w:b/>
        <w:bCs/>
        <w:color w:val="000000"/>
        <w:sz w:val="18"/>
        <w:szCs w:val="20"/>
      </w:rPr>
      <w:fldChar w:fldCharType="begin"/>
    </w:r>
    <w:r>
      <w:rPr>
        <w:sz w:val="18"/>
        <w:b/>
        <w:szCs w:val="20"/>
        <w:bCs/>
        <w:rFonts w:cs="Arial" w:ascii="Arial" w:hAnsi="Arial"/>
        <w:color w:val="000000"/>
      </w:rPr>
      <w:instrText> NUMPAGES </w:instrText>
    </w:r>
    <w:r>
      <w:rPr>
        <w:sz w:val="18"/>
        <w:b/>
        <w:szCs w:val="20"/>
        <w:bCs/>
        <w:rFonts w:cs="Arial" w:ascii="Arial" w:hAnsi="Arial"/>
        <w:color w:val="000000"/>
      </w:rPr>
      <w:fldChar w:fldCharType="separate"/>
    </w:r>
    <w:r>
      <w:rPr>
        <w:sz w:val="18"/>
        <w:b/>
        <w:szCs w:val="20"/>
        <w:bCs/>
        <w:rFonts w:cs="Arial" w:ascii="Arial" w:hAnsi="Arial"/>
        <w:color w:val="000000"/>
      </w:rPr>
      <w:t>41</w:t>
    </w:r>
    <w:r>
      <w:rPr>
        <w:sz w:val="18"/>
        <w:b/>
        <w:szCs w:val="20"/>
        <w:bCs/>
        <w:rFonts w:cs="Arial" w:ascii="Arial" w:hAnsi="Arial"/>
        <w:color w:val="00000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rPr>
          <w:color w:val="000000"/>
          <w:sz w:val="20"/>
          <w:szCs w:val="20"/>
        </w:rPr>
      </w:pPr>
      <w:r>
        <w:rPr>
          <w:rStyle w:val="Caracteresdenotaderodap"/>
        </w:rPr>
        <w:footnoteRef/>
      </w:r>
      <w:r>
        <w:rPr>
          <w:color w:val="000000"/>
          <w:sz w:val="20"/>
          <w:szCs w:val="20"/>
        </w:rPr>
        <w:t xml:space="preserve"> </w:t>
      </w:r>
      <w:r>
        <w:rPr>
          <w:color w:val="000000"/>
          <w:sz w:val="20"/>
          <w:szCs w:val="20"/>
        </w:rPr>
        <w:t xml:space="preserve">A vedação à participação de interessadas que se apresentem constituídas sob a forma de consórcio se justifica pelo fato e que a futura contratação é considerado objeto perfeitamente pertinente e compatível para empresas atuantes do ramo licitado, sendo que é  bastante comum a participação de empresas de pequeno e médio porte, às quais, em sua maioria, apresentam o mínimo exigido no tocante à qualificação fiscal, trabalhista e econômico-financeira, condições suficientes para a execução de contratos dessa natureza, o que não tornará restrito o universo de possíveis licitantes individuais. </w:t>
      </w:r>
    </w:p>
    <w:p>
      <w:pPr>
        <w:pStyle w:val="Normal"/>
        <w:rPr>
          <w:color w:val="000000"/>
          <w:sz w:val="20"/>
          <w:szCs w:val="20"/>
        </w:rPr>
      </w:pPr>
      <w:r>
        <w:rPr>
          <w:color w:val="000000"/>
          <w:sz w:val="20"/>
          <w:szCs w:val="20"/>
        </w:rPr>
        <w:t xml:space="preserve">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 Tendo em vista que é prerrogativa do Poder Público, na condição de contratante, a escolha da participação, ou não, de empresas constituídas sob a forma de consórcio, com as devidas justificativas, conforme se depreende da literalidade do texto da Lei nº 14.133/21, que em seu artigo 15 que atribui à Administração a prerrogativa de admissão de consórcios em licitações por ela promovidas, pelos motivos já expostos, conclui-se que a vedação de constituição de empresas em consórcio, para o caso concreto, é o que melhor atende o interesse público, por prestigiar os princípios da competitividade, economicidade e moralidade. </w:t>
      </w:r>
    </w:p>
    <w:p>
      <w:pPr>
        <w:pStyle w:val="Normal"/>
        <w:rPr>
          <w:color w:val="000000"/>
          <w:sz w:val="20"/>
          <w:szCs w:val="20"/>
        </w:rPr>
      </w:pPr>
      <w:r>
        <w:rPr>
          <w:color w:val="000000"/>
          <w:sz w:val="20"/>
          <w:szCs w:val="20"/>
        </w:rPr>
        <w:t>Ressalte-se que a nossa decisão com relação à vedação à participação de consórcios, para o caso concreto, visa exatamente afastar a restrição à competição.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pPr w:vertAnchor="page" w:horzAnchor="page" w:leftFromText="180" w:rightFromText="180" w:tblpX="1656" w:tblpY="418"/>
      <w:tblW w:w="959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0"/>
      <w:gridCol w:w="4531"/>
      <w:gridCol w:w="3968"/>
    </w:tblGrid>
    <w:tr>
      <w:trPr>
        <w:trHeight w:val="1043" w:hRule="atLeast"/>
      </w:trPr>
      <w:tc>
        <w:tcPr>
          <w:tcW w:w="1100" w:type="dxa"/>
          <w:tcBorders>
            <w:top w:val="nil"/>
            <w:left w:val="nil"/>
            <w:bottom w:val="nil"/>
            <w:right w:val="nil"/>
          </w:tcBorders>
        </w:tcPr>
        <w:p>
          <w:pPr>
            <w:pStyle w:val="Cabealho"/>
            <w:widowControl w:val="false"/>
            <w:tabs>
              <w:tab w:val="clear" w:pos="4252"/>
              <w:tab w:val="right" w:pos="8504" w:leader="none"/>
            </w:tabs>
            <w:suppressAutoHyphens w:val="true"/>
            <w:spacing w:before="0" w:after="0"/>
            <w:jc w:val="left"/>
            <w:rPr>
              <w:rFonts w:ascii="Arial" w:hAnsi="Arial" w:cs="Arial"/>
              <w:b/>
              <w:b/>
              <w:bCs/>
              <w:sz w:val="32"/>
              <w:szCs w:val="32"/>
            </w:rPr>
          </w:pPr>
          <w:r>
            <w:rPr>
              <w:rFonts w:cs="Arial" w:ascii="Arial" w:hAnsi="Arial"/>
              <w:b/>
              <w:bCs/>
              <w:sz w:val="32"/>
              <w:szCs w:val="32"/>
            </w:rPr>
            <w:drawing>
              <wp:anchor behindDoc="1" distT="0" distB="0" distL="0" distR="0" simplePos="0" locked="0" layoutInCell="1" allowOverlap="1" relativeHeight="124">
                <wp:simplePos x="0" y="0"/>
                <wp:positionH relativeFrom="column">
                  <wp:posOffset>-51435</wp:posOffset>
                </wp:positionH>
                <wp:positionV relativeFrom="paragraph">
                  <wp:posOffset>21590</wp:posOffset>
                </wp:positionV>
                <wp:extent cx="590550" cy="515620"/>
                <wp:effectExtent l="0" t="0" r="0" b="0"/>
                <wp:wrapNone/>
                <wp:docPr id="1" name="Imagem 5" descr="BRASÃO ARAÇUA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BRASÃO ARAÇUAÍ"/>
                        <pic:cNvPicPr>
                          <a:picLocks noChangeAspect="1" noChangeArrowheads="1"/>
                        </pic:cNvPicPr>
                      </pic:nvPicPr>
                      <pic:blipFill>
                        <a:blip r:embed="rId1"/>
                        <a:stretch>
                          <a:fillRect/>
                        </a:stretch>
                      </pic:blipFill>
                      <pic:spPr bwMode="auto">
                        <a:xfrm>
                          <a:off x="0" y="0"/>
                          <a:ext cx="590550" cy="515620"/>
                        </a:xfrm>
                        <a:prstGeom prst="rect">
                          <a:avLst/>
                        </a:prstGeom>
                      </pic:spPr>
                    </pic:pic>
                  </a:graphicData>
                </a:graphic>
              </wp:anchor>
            </w:drawing>
          </w:r>
        </w:p>
      </w:tc>
      <w:tc>
        <w:tcPr>
          <w:tcW w:w="4531" w:type="dxa"/>
          <w:tcBorders>
            <w:top w:val="nil"/>
            <w:left w:val="nil"/>
            <w:bottom w:val="nil"/>
            <w:right w:val="single" w:sz="8" w:space="0" w:color="1F3864"/>
          </w:tcBorders>
          <w:vAlign w:val="center"/>
        </w:tcPr>
        <w:p>
          <w:pPr>
            <w:pStyle w:val="Cabealho"/>
            <w:widowControl w:val="false"/>
            <w:suppressAutoHyphens w:val="true"/>
            <w:spacing w:before="0" w:after="0"/>
            <w:jc w:val="center"/>
            <w:rPr>
              <w:rFonts w:ascii="Arial" w:hAnsi="Arial" w:cs="Arial"/>
              <w:b/>
              <w:b/>
              <w:bCs/>
              <w:sz w:val="32"/>
              <w:szCs w:val="32"/>
            </w:rPr>
          </w:pPr>
          <w:r>
            <w:rPr>
              <w:rFonts w:cs="Arial" w:ascii="Arial" w:hAnsi="Arial"/>
              <w:b/>
              <w:bCs/>
              <w:sz w:val="32"/>
              <w:szCs w:val="32"/>
            </w:rPr>
            <w:drawing>
              <wp:anchor behindDoc="1" distT="0" distB="0" distL="0" distR="0" simplePos="0" locked="0" layoutInCell="1" allowOverlap="1" relativeHeight="83">
                <wp:simplePos x="0" y="0"/>
                <wp:positionH relativeFrom="column">
                  <wp:posOffset>-27940</wp:posOffset>
                </wp:positionH>
                <wp:positionV relativeFrom="paragraph">
                  <wp:posOffset>33020</wp:posOffset>
                </wp:positionV>
                <wp:extent cx="2299970" cy="609600"/>
                <wp:effectExtent l="0" t="0" r="0" b="0"/>
                <wp:wrapNone/>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rcRect l="31879" t="33169" r="16094" b="42252"/>
                        <a:stretch>
                          <a:fillRect/>
                        </a:stretch>
                      </pic:blipFill>
                      <pic:spPr bwMode="auto">
                        <a:xfrm>
                          <a:off x="0" y="0"/>
                          <a:ext cx="2299970" cy="609600"/>
                        </a:xfrm>
                        <a:prstGeom prst="rect">
                          <a:avLst/>
                        </a:prstGeom>
                      </pic:spPr>
                    </pic:pic>
                  </a:graphicData>
                </a:graphic>
              </wp:anchor>
            </w:drawing>
          </w:r>
        </w:p>
      </w:tc>
      <w:tc>
        <w:tcPr>
          <w:tcW w:w="3968" w:type="dxa"/>
          <w:tcBorders>
            <w:top w:val="nil"/>
            <w:left w:val="single" w:sz="8" w:space="0" w:color="1F3864"/>
            <w:bottom w:val="nil"/>
            <w:right w:val="nil"/>
          </w:tcBorders>
          <w:vAlign w:val="center"/>
        </w:tcPr>
        <w:p>
          <w:pPr>
            <w:pStyle w:val="Rodap"/>
            <w:widowControl w:val="false"/>
            <w:suppressAutoHyphens w:val="true"/>
            <w:spacing w:before="0" w:after="0"/>
            <w:jc w:val="left"/>
            <w:rPr>
              <w:rFonts w:ascii="Arial" w:hAnsi="Arial" w:cs="Arial"/>
              <w:bCs/>
              <w:color w:val="000000" w:themeColor="text1"/>
              <w:sz w:val="16"/>
              <w:szCs w:val="18"/>
            </w:rPr>
          </w:pPr>
          <w:r>
            <w:rPr>
              <w:rFonts w:eastAsia="Times New Roman" w:cs="Arial" w:ascii="Arial" w:hAnsi="Arial"/>
              <w:bCs/>
              <w:color w:val="000000" w:themeColor="text1"/>
              <w:kern w:val="0"/>
              <w:sz w:val="16"/>
              <w:szCs w:val="18"/>
              <w:lang w:bidi="ar-SA"/>
            </w:rPr>
            <w:t>CNPJ: 17.963.083/0001-17</w:t>
          </w:r>
        </w:p>
        <w:p>
          <w:pPr>
            <w:pStyle w:val="Rodap"/>
            <w:widowControl w:val="false"/>
            <w:suppressAutoHyphens w:val="true"/>
            <w:spacing w:before="0" w:after="0"/>
            <w:jc w:val="left"/>
            <w:rPr>
              <w:rFonts w:ascii="Arial" w:hAnsi="Arial" w:cs="Arial"/>
              <w:bCs/>
              <w:color w:val="000000" w:themeColor="text1"/>
              <w:sz w:val="16"/>
              <w:szCs w:val="18"/>
            </w:rPr>
          </w:pPr>
          <w:r>
            <w:rPr>
              <w:rFonts w:eastAsia="Times New Roman" w:cs="Arial" w:ascii="Arial" w:hAnsi="Arial"/>
              <w:bCs/>
              <w:color w:val="000000" w:themeColor="text1"/>
              <w:kern w:val="0"/>
              <w:sz w:val="16"/>
              <w:szCs w:val="18"/>
              <w:lang w:bidi="ar-SA"/>
            </w:rPr>
            <w:t>Praça Rui Barbosa, 26 - Centro - Araçuaí | MG</w:t>
          </w:r>
        </w:p>
        <w:p>
          <w:pPr>
            <w:pStyle w:val="Rodap"/>
            <w:widowControl w:val="false"/>
            <w:suppressAutoHyphens w:val="true"/>
            <w:spacing w:before="0" w:after="0"/>
            <w:jc w:val="left"/>
            <w:rPr>
              <w:rFonts w:ascii="Arial" w:hAnsi="Arial" w:cs="Arial"/>
              <w:bCs/>
              <w:color w:val="808080" w:themeColor="background1" w:themeShade="80"/>
              <w:sz w:val="18"/>
              <w:szCs w:val="20"/>
            </w:rPr>
          </w:pPr>
          <w:r>
            <w:rPr>
              <w:rFonts w:eastAsia="Times New Roman" w:cs="Arial" w:ascii="Arial" w:hAnsi="Arial"/>
              <w:bCs/>
              <w:color w:val="000000" w:themeColor="text1"/>
              <w:kern w:val="0"/>
              <w:sz w:val="16"/>
              <w:szCs w:val="18"/>
              <w:lang w:bidi="ar-SA"/>
            </w:rPr>
            <w:t>CEP 39600-000 (33) 3731-1570 - aracuai.mg.gov.br</w:t>
          </w:r>
        </w:p>
      </w:tc>
    </w:tr>
    <w:tr>
      <w:trPr>
        <w:trHeight w:val="156" w:hRule="atLeast"/>
      </w:trPr>
      <w:tc>
        <w:tcPr>
          <w:tcW w:w="1100" w:type="dxa"/>
          <w:tcBorders>
            <w:top w:val="nil"/>
            <w:left w:val="nil"/>
            <w:bottom w:val="single" w:sz="12" w:space="0" w:color="1F3864"/>
            <w:right w:val="nil"/>
          </w:tcBorders>
        </w:tcPr>
        <w:p>
          <w:pPr>
            <w:pStyle w:val="Cabealho"/>
            <w:widowControl w:val="false"/>
            <w:tabs>
              <w:tab w:val="clear" w:pos="4252"/>
              <w:tab w:val="right" w:pos="8504" w:leader="none"/>
            </w:tabs>
            <w:suppressAutoHyphens w:val="true"/>
            <w:spacing w:before="0" w:after="0"/>
            <w:jc w:val="left"/>
            <w:rPr>
              <w:rFonts w:ascii="Arial" w:hAnsi="Arial" w:cs="Arial"/>
              <w:b/>
              <w:b/>
              <w:bCs/>
              <w:sz w:val="2"/>
              <w:szCs w:val="2"/>
            </w:rPr>
          </w:pPr>
          <w:r>
            <w:rPr>
              <w:rFonts w:cs="Arial" w:ascii="Arial" w:hAnsi="Arial"/>
              <w:b/>
              <w:bCs/>
              <w:sz w:val="2"/>
              <w:szCs w:val="2"/>
            </w:rPr>
          </w:r>
        </w:p>
      </w:tc>
      <w:tc>
        <w:tcPr>
          <w:tcW w:w="4531" w:type="dxa"/>
          <w:tcBorders>
            <w:top w:val="nil"/>
            <w:left w:val="nil"/>
            <w:bottom w:val="single" w:sz="12" w:space="0" w:color="1F3864"/>
            <w:right w:val="nil"/>
          </w:tcBorders>
          <w:vAlign w:val="center"/>
        </w:tcPr>
        <w:p>
          <w:pPr>
            <w:pStyle w:val="Cabealho"/>
            <w:widowControl w:val="false"/>
            <w:suppressAutoHyphens w:val="true"/>
            <w:spacing w:before="0" w:after="0"/>
            <w:jc w:val="center"/>
            <w:rPr>
              <w:rFonts w:ascii="Arial" w:hAnsi="Arial" w:cs="Arial"/>
              <w:b/>
              <w:b/>
              <w:bCs/>
              <w:sz w:val="2"/>
              <w:szCs w:val="2"/>
            </w:rPr>
          </w:pPr>
          <w:r>
            <w:rPr>
              <w:rFonts w:cs="Arial" w:ascii="Arial" w:hAnsi="Arial"/>
              <w:b/>
              <w:bCs/>
              <w:sz w:val="2"/>
              <w:szCs w:val="2"/>
            </w:rPr>
          </w:r>
        </w:p>
      </w:tc>
      <w:tc>
        <w:tcPr>
          <w:tcW w:w="3968" w:type="dxa"/>
          <w:tcBorders>
            <w:top w:val="nil"/>
            <w:left w:val="nil"/>
            <w:bottom w:val="single" w:sz="12" w:space="0" w:color="1F3864"/>
            <w:right w:val="nil"/>
          </w:tcBorders>
          <w:vAlign w:val="center"/>
        </w:tcPr>
        <w:p>
          <w:pPr>
            <w:pStyle w:val="Rodap"/>
            <w:widowControl w:val="false"/>
            <w:suppressAutoHyphens w:val="true"/>
            <w:spacing w:before="0" w:after="0"/>
            <w:jc w:val="left"/>
            <w:rPr>
              <w:rFonts w:ascii="Arial" w:hAnsi="Arial" w:cs="Arial"/>
              <w:bCs/>
              <w:color w:val="000000" w:themeColor="text1"/>
              <w:sz w:val="2"/>
              <w:szCs w:val="2"/>
            </w:rPr>
          </w:pPr>
          <w:r>
            <w:rPr>
              <w:rFonts w:cs="Arial" w:ascii="Arial" w:hAnsi="Arial"/>
              <w:bCs/>
              <w:color w:val="000000" w:themeColor="text1"/>
              <w:sz w:val="2"/>
              <w:szCs w:val="2"/>
            </w:rPr>
          </w:r>
        </w:p>
      </w:tc>
    </w:tr>
  </w:tbl>
  <w:p>
    <w:pPr>
      <w:pStyle w:val="Cabealho"/>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uiPriority="0" w:qFormat="1"/>
    <w:lsdException w:name="FollowedHyperlink" w:qFormat="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qFormat="1"/>
    <w:lsdException w:name="Table Grid" w:uiPriority="59" w:semiHidden="1"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uiPriority w:val="9"/>
    <w:qFormat/>
    <w:pPr>
      <w:keepNext w:val="true"/>
      <w:spacing w:before="240" w:after="60"/>
      <w:outlineLvl w:val="0"/>
    </w:pPr>
    <w:rPr>
      <w:rFonts w:ascii="Arial" w:hAnsi="Arial"/>
      <w:b/>
      <w:bCs/>
      <w:kern w:val="2"/>
      <w:sz w:val="32"/>
      <w:szCs w:val="32"/>
      <w:lang w:val="zh-CN" w:eastAsia="zh-CN"/>
    </w:rPr>
  </w:style>
  <w:style w:type="paragraph" w:styleId="Ttulo2">
    <w:name w:val="Heading 2"/>
    <w:basedOn w:val="Normal"/>
    <w:next w:val="Normal"/>
    <w:link w:val="Ttulo2Char"/>
    <w:uiPriority w:val="9"/>
    <w:semiHidden/>
    <w:unhideWhenUsed/>
    <w:qFormat/>
    <w:pPr>
      <w:keepNext w:val="true"/>
      <w:jc w:val="both"/>
      <w:outlineLvl w:val="1"/>
    </w:pPr>
    <w:rPr>
      <w:rFonts w:ascii="Lucida Casual" w:hAnsi="Lucida Casual"/>
      <w:sz w:val="28"/>
      <w:lang w:val="zh-CN" w:eastAsia="zh-CN"/>
    </w:rPr>
  </w:style>
  <w:style w:type="paragraph" w:styleId="Ttulo3">
    <w:name w:val="Heading 3"/>
    <w:basedOn w:val="Normal"/>
    <w:next w:val="Normal"/>
    <w:link w:val="Ttulo3Char"/>
    <w:uiPriority w:val="9"/>
    <w:semiHidden/>
    <w:unhideWhenUsed/>
    <w:qFormat/>
    <w:pPr>
      <w:keepNext w:val="true"/>
      <w:spacing w:before="240" w:after="60"/>
      <w:outlineLvl w:val="2"/>
    </w:pPr>
    <w:rPr>
      <w:rFonts w:ascii="Arial" w:hAnsi="Arial"/>
      <w:b/>
      <w:bCs/>
      <w:sz w:val="26"/>
      <w:szCs w:val="26"/>
      <w:lang w:val="zh-CN" w:eastAsia="zh-CN"/>
    </w:rPr>
  </w:style>
  <w:style w:type="paragraph" w:styleId="Ttulo4">
    <w:name w:val="Heading 4"/>
    <w:basedOn w:val="Normal"/>
    <w:next w:val="Normal"/>
    <w:link w:val="Ttulo4Char"/>
    <w:uiPriority w:val="9"/>
    <w:semiHidden/>
    <w:unhideWhenUsed/>
    <w:qFormat/>
    <w:pPr>
      <w:keepNext w:val="true"/>
      <w:jc w:val="center"/>
      <w:outlineLvl w:val="3"/>
    </w:pPr>
    <w:rPr>
      <w:rFonts w:ascii="Arial" w:hAnsi="Arial"/>
      <w:sz w:val="28"/>
      <w:lang w:val="zh-CN" w:eastAsia="zh-CN"/>
    </w:rPr>
  </w:style>
  <w:style w:type="paragraph" w:styleId="Ttulo5">
    <w:name w:val="Heading 5"/>
    <w:basedOn w:val="Normal"/>
    <w:next w:val="Normal"/>
    <w:link w:val="Ttulo5Char"/>
    <w:uiPriority w:val="9"/>
    <w:semiHidden/>
    <w:unhideWhenUsed/>
    <w:qFormat/>
    <w:pPr>
      <w:keepNext w:val="true"/>
      <w:suppressAutoHyphens w:val="true"/>
      <w:jc w:val="center"/>
      <w:outlineLvl w:val="4"/>
    </w:pPr>
    <w:rPr>
      <w:rFonts w:ascii="Arial" w:hAnsi="Arial"/>
      <w:b/>
      <w:bCs/>
      <w:lang w:val="zh-CN" w:eastAsia="zh-CN"/>
    </w:rPr>
  </w:style>
  <w:style w:type="paragraph" w:styleId="Ttulo6">
    <w:name w:val="Heading 6"/>
    <w:basedOn w:val="Normal"/>
    <w:next w:val="Normal"/>
    <w:link w:val="Ttulo6Char"/>
    <w:autoRedefine/>
    <w:uiPriority w:val="9"/>
    <w:semiHidden/>
    <w:unhideWhenUsed/>
    <w:qFormat/>
    <w:pPr>
      <w:spacing w:before="240" w:after="60"/>
      <w:outlineLvl w:val="5"/>
    </w:pPr>
    <w:rPr>
      <w:b/>
      <w:bCs/>
      <w:sz w:val="22"/>
      <w:szCs w:val="22"/>
      <w:lang w:val="zh-CN" w:eastAsia="zh-CN"/>
    </w:rPr>
  </w:style>
  <w:style w:type="paragraph" w:styleId="Ttulo7">
    <w:name w:val="Heading 7"/>
    <w:basedOn w:val="Normal"/>
    <w:next w:val="Normal"/>
    <w:link w:val="Ttulo7Char"/>
    <w:semiHidden/>
    <w:unhideWhenUsed/>
    <w:qFormat/>
    <w:pPr>
      <w:suppressAutoHyphens w:val="true"/>
      <w:spacing w:before="240" w:after="60"/>
      <w:jc w:val="both"/>
      <w:outlineLvl w:val="6"/>
    </w:pPr>
    <w:rPr>
      <w:rFonts w:ascii="Calibri" w:hAnsi="Calibri"/>
      <w:lang w:val="zh-CN" w:eastAsia="zh-CN"/>
    </w:rPr>
  </w:style>
  <w:style w:type="paragraph" w:styleId="Ttulo8">
    <w:name w:val="Heading 8"/>
    <w:basedOn w:val="Normal"/>
    <w:next w:val="Normal"/>
    <w:link w:val="Ttulo8Char"/>
    <w:autoRedefine/>
    <w:uiPriority w:val="9"/>
    <w:semiHidden/>
    <w:unhideWhenUsed/>
    <w:qFormat/>
    <w:pPr>
      <w:suppressAutoHyphens w:val="true"/>
      <w:spacing w:before="240" w:after="60"/>
      <w:jc w:val="both"/>
      <w:outlineLvl w:val="7"/>
    </w:pPr>
    <w:rPr>
      <w:rFonts w:ascii="Calibri" w:hAnsi="Calibri"/>
      <w:i/>
      <w:iCs/>
      <w:lang w:val="zh-CN" w:eastAsia="zh-CN"/>
    </w:rPr>
  </w:style>
  <w:style w:type="paragraph" w:styleId="Ttulo9">
    <w:name w:val="Heading 9"/>
    <w:basedOn w:val="Normal"/>
    <w:next w:val="Normal"/>
    <w:link w:val="Ttulo9Char"/>
    <w:semiHidden/>
    <w:unhideWhenUsed/>
    <w:qFormat/>
    <w:pPr>
      <w:spacing w:before="240" w:after="60"/>
      <w:outlineLvl w:val="8"/>
    </w:pPr>
    <w:rPr>
      <w:rFonts w:ascii="Arial" w:hAnsi="Arial"/>
      <w:sz w:val="22"/>
      <w:szCs w:val="22"/>
      <w:lang w:val="zh-CN" w:eastAsia="zh-CN"/>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Annotationreference">
    <w:name w:val="annotation reference"/>
    <w:qFormat/>
    <w:rPr>
      <w:sz w:val="16"/>
      <w:szCs w:val="16"/>
    </w:rPr>
  </w:style>
  <w:style w:type="character" w:styleId="Linkdainternetvisitado">
    <w:name w:val="Link da internet visitado"/>
    <w:uiPriority w:val="99"/>
    <w:qFormat/>
    <w:rPr>
      <w:color w:val="954F72"/>
      <w:u w:val="single"/>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LinkdaInternet">
    <w:name w:val="Link da Internet"/>
    <w:qFormat/>
    <w:rPr>
      <w:color w:val="0000FF"/>
      <w:u w:val="single"/>
    </w:rPr>
  </w:style>
  <w:style w:type="character" w:styleId="Pagenumber">
    <w:name w:val="page number"/>
    <w:basedOn w:val="DefaultParagraphFont"/>
    <w:qFormat/>
    <w:rPr/>
  </w:style>
  <w:style w:type="character" w:styleId="Ttulo1Char" w:customStyle="1">
    <w:name w:val="Título 1 Char"/>
    <w:link w:val="Ttulo1"/>
    <w:qFormat/>
    <w:rPr>
      <w:rFonts w:ascii="Arial" w:hAnsi="Arial" w:cs="Arial"/>
      <w:b/>
      <w:bCs/>
      <w:kern w:val="2"/>
      <w:sz w:val="32"/>
      <w:szCs w:val="32"/>
    </w:rPr>
  </w:style>
  <w:style w:type="character" w:styleId="Ttulo2Char" w:customStyle="1">
    <w:name w:val="Título 2 Char"/>
    <w:link w:val="Ttulo2"/>
    <w:qFormat/>
    <w:rPr>
      <w:rFonts w:ascii="Lucida Casual" w:hAnsi="Lucida Casual"/>
      <w:sz w:val="28"/>
    </w:rPr>
  </w:style>
  <w:style w:type="character" w:styleId="Ttulo3Char" w:customStyle="1">
    <w:name w:val="Título 3 Char"/>
    <w:link w:val="Ttulo3"/>
    <w:qFormat/>
    <w:rPr>
      <w:rFonts w:ascii="Arial" w:hAnsi="Arial" w:cs="Arial"/>
      <w:b/>
      <w:bCs/>
      <w:sz w:val="26"/>
      <w:szCs w:val="26"/>
    </w:rPr>
  </w:style>
  <w:style w:type="character" w:styleId="Ttulo4Char" w:customStyle="1">
    <w:name w:val="Título 4 Char"/>
    <w:link w:val="Ttulo4"/>
    <w:qFormat/>
    <w:rPr>
      <w:rFonts w:ascii="Arial" w:hAnsi="Arial" w:cs="Arial"/>
      <w:sz w:val="28"/>
    </w:rPr>
  </w:style>
  <w:style w:type="character" w:styleId="Ttulo9Char" w:customStyle="1">
    <w:name w:val="Título 9 Char"/>
    <w:link w:val="Ttulo9"/>
    <w:semiHidden/>
    <w:qFormat/>
    <w:rPr>
      <w:rFonts w:ascii="Arial" w:hAnsi="Arial" w:cs="Arial"/>
      <w:sz w:val="22"/>
      <w:szCs w:val="22"/>
    </w:rPr>
  </w:style>
  <w:style w:type="character" w:styleId="RecuodecorpodetextoChar" w:customStyle="1">
    <w:name w:val="Recuo de corpo de texto Char"/>
    <w:link w:val="Recuodecorpodetexto"/>
    <w:qFormat/>
    <w:rPr>
      <w:rFonts w:ascii="Arial" w:hAnsi="Arial"/>
      <w:sz w:val="28"/>
    </w:rPr>
  </w:style>
  <w:style w:type="character" w:styleId="RodapChar" w:customStyle="1">
    <w:name w:val="Rodapé Char"/>
    <w:link w:val="Rodap"/>
    <w:uiPriority w:val="99"/>
    <w:qFormat/>
    <w:rPr>
      <w:sz w:val="28"/>
    </w:rPr>
  </w:style>
  <w:style w:type="character" w:styleId="CabealhoChar" w:customStyle="1">
    <w:name w:val="Cabeçalho Char"/>
    <w:link w:val="Cabealho"/>
    <w:qFormat/>
    <w:rPr>
      <w:sz w:val="24"/>
    </w:rPr>
  </w:style>
  <w:style w:type="character" w:styleId="TextodebaloChar" w:customStyle="1">
    <w:name w:val="Texto de balão Char"/>
    <w:link w:val="Textodebalo"/>
    <w:semiHidden/>
    <w:qFormat/>
    <w:rPr>
      <w:rFonts w:ascii="Tahoma" w:hAnsi="Tahoma" w:cs="Tahoma"/>
      <w:sz w:val="16"/>
      <w:szCs w:val="16"/>
    </w:rPr>
  </w:style>
  <w:style w:type="character" w:styleId="CorpodetextoChar" w:customStyle="1">
    <w:name w:val="Corpo de texto Char"/>
    <w:link w:val="Corpodetexto"/>
    <w:qFormat/>
    <w:rPr>
      <w:sz w:val="24"/>
    </w:rPr>
  </w:style>
  <w:style w:type="character" w:styleId="Corpodetexto2Char" w:customStyle="1">
    <w:name w:val="Corpo de texto 2 Char"/>
    <w:link w:val="Corpodetexto2"/>
    <w:uiPriority w:val="99"/>
    <w:qFormat/>
    <w:rPr>
      <w:sz w:val="24"/>
    </w:rPr>
  </w:style>
  <w:style w:type="character" w:styleId="TtuloChar" w:customStyle="1">
    <w:name w:val="Título Char"/>
    <w:link w:val="Ttulo"/>
    <w:qFormat/>
    <w:rPr>
      <w:b/>
      <w:bCs/>
      <w:sz w:val="32"/>
    </w:rPr>
  </w:style>
  <w:style w:type="character" w:styleId="Ttulo5Char" w:customStyle="1">
    <w:name w:val="Título 5 Char"/>
    <w:link w:val="Ttulo5"/>
    <w:semiHidden/>
    <w:qFormat/>
    <w:rPr>
      <w:rFonts w:ascii="Arial" w:hAnsi="Arial"/>
      <w:b/>
      <w:bCs/>
      <w:sz w:val="24"/>
    </w:rPr>
  </w:style>
  <w:style w:type="character" w:styleId="Ttulo6Char" w:customStyle="1">
    <w:name w:val="Título 6 Char"/>
    <w:link w:val="Ttulo6"/>
    <w:semiHidden/>
    <w:qFormat/>
    <w:rPr>
      <w:b/>
      <w:bCs/>
      <w:sz w:val="22"/>
      <w:szCs w:val="22"/>
    </w:rPr>
  </w:style>
  <w:style w:type="character" w:styleId="Ttulo7Char" w:customStyle="1">
    <w:name w:val="Título 7 Char"/>
    <w:link w:val="Ttulo7"/>
    <w:semiHidden/>
    <w:qFormat/>
    <w:rPr>
      <w:rFonts w:ascii="Calibri" w:hAnsi="Calibri"/>
      <w:sz w:val="24"/>
      <w:szCs w:val="24"/>
    </w:rPr>
  </w:style>
  <w:style w:type="character" w:styleId="Ttulo8Char" w:customStyle="1">
    <w:name w:val="Título 8 Char"/>
    <w:link w:val="Ttulo8"/>
    <w:uiPriority w:val="9"/>
    <w:semiHidden/>
    <w:qFormat/>
    <w:rPr>
      <w:rFonts w:ascii="Calibri" w:hAnsi="Calibri"/>
      <w:i/>
      <w:iCs/>
      <w:sz w:val="24"/>
      <w:szCs w:val="24"/>
    </w:rPr>
  </w:style>
  <w:style w:type="character" w:styleId="SubttuloChar" w:customStyle="1">
    <w:name w:val="Subtítulo Char"/>
    <w:link w:val="Subttulo"/>
    <w:qFormat/>
    <w:rPr>
      <w:rFonts w:ascii="Arial" w:hAnsi="Arial"/>
      <w:bCs/>
      <w:color w:val="000000"/>
      <w:sz w:val="28"/>
      <w:u w:val="single"/>
    </w:rPr>
  </w:style>
  <w:style w:type="character" w:styleId="SaudaoChar1" w:customStyle="1">
    <w:name w:val="Saudação Char1"/>
    <w:link w:val="Saudao"/>
    <w:uiPriority w:val="99"/>
    <w:qFormat/>
    <w:locked/>
    <w:rPr>
      <w:rFonts w:ascii="Arial" w:hAnsi="Arial" w:cs="Arial"/>
      <w:sz w:val="24"/>
      <w:szCs w:val="24"/>
    </w:rPr>
  </w:style>
  <w:style w:type="character" w:styleId="SaudaoChar" w:customStyle="1">
    <w:name w:val="Saudação Char"/>
    <w:uiPriority w:val="99"/>
    <w:qFormat/>
    <w:rPr>
      <w:sz w:val="24"/>
    </w:rPr>
  </w:style>
  <w:style w:type="character" w:styleId="Corpodetexto3Char" w:customStyle="1">
    <w:name w:val="Corpo de texto 3 Char"/>
    <w:link w:val="Corpodetexto3"/>
    <w:qFormat/>
    <w:rPr>
      <w:sz w:val="16"/>
      <w:szCs w:val="16"/>
    </w:rPr>
  </w:style>
  <w:style w:type="character" w:styleId="Recuodecorpodetexto2Char" w:customStyle="1">
    <w:name w:val="Recuo de corpo de texto 2 Char"/>
    <w:link w:val="Recuodecorpodetexto2"/>
    <w:qFormat/>
    <w:rPr>
      <w:sz w:val="24"/>
    </w:rPr>
  </w:style>
  <w:style w:type="character" w:styleId="Recuodecorpodetexto3Char" w:customStyle="1">
    <w:name w:val="Recuo de corpo de texto 3 Char"/>
    <w:link w:val="Recuodecorpodetexto3"/>
    <w:qFormat/>
    <w:locked/>
    <w:rPr>
      <w:sz w:val="16"/>
      <w:szCs w:val="16"/>
    </w:rPr>
  </w:style>
  <w:style w:type="character" w:styleId="Recuodecorpodetexto3Char1" w:customStyle="1">
    <w:name w:val="Recuo de corpo de texto 3 Char1"/>
    <w:qFormat/>
    <w:rPr>
      <w:sz w:val="16"/>
      <w:szCs w:val="16"/>
    </w:rPr>
  </w:style>
  <w:style w:type="character" w:styleId="TextosemFormataoChar1" w:customStyle="1">
    <w:name w:val="Texto sem Formatação Char1"/>
    <w:link w:val="TextosemFormatao"/>
    <w:qFormat/>
    <w:locked/>
    <w:rPr>
      <w:rFonts w:ascii="Courier New" w:hAnsi="Courier New" w:cs="Courier New"/>
    </w:rPr>
  </w:style>
  <w:style w:type="character" w:styleId="TextosemFormataoChar" w:customStyle="1">
    <w:name w:val="Texto sem Formatação Char"/>
    <w:qFormat/>
    <w:rPr>
      <w:rFonts w:ascii="Courier New" w:hAnsi="Courier New" w:cs="Courier New"/>
    </w:rPr>
  </w:style>
  <w:style w:type="character" w:styleId="TextodecomentrioChar" w:customStyle="1">
    <w:name w:val="Texto de comentário Char"/>
    <w:basedOn w:val="DefaultParagraphFont"/>
    <w:link w:val="Textodecomentrio"/>
    <w:qFormat/>
    <w:rPr/>
  </w:style>
  <w:style w:type="character" w:styleId="AssuntodocomentrioChar" w:customStyle="1">
    <w:name w:val="Assunto do comentário Char"/>
    <w:link w:val="Assuntodocomentrio"/>
    <w:qFormat/>
    <w:rPr>
      <w:b/>
      <w:bCs/>
    </w:rPr>
  </w:style>
  <w:style w:type="character" w:styleId="Fontepargpadro12" w:customStyle="1">
    <w:name w:val="Fonte parág. padrão12"/>
    <w:qFormat/>
    <w:rPr/>
  </w:style>
  <w:style w:type="character" w:styleId="Minifpintrotitle" w:customStyle="1">
    <w:name w:val="minifp-introtitle"/>
    <w:basedOn w:val="DefaultParagraphFont"/>
    <w:qFormat/>
    <w:rPr/>
  </w:style>
  <w:style w:type="character" w:styleId="TextodenotaderodapChar" w:customStyle="1">
    <w:name w:val="Texto de nota de rodapé Char"/>
    <w:basedOn w:val="DefaultParagraphFont"/>
    <w:link w:val="Textodenotaderodap"/>
    <w:qFormat/>
    <w:rPr>
      <w:sz w:val="20"/>
      <w:szCs w:val="20"/>
      <w:lang w:val="zh-CN" w:eastAsia="en-US"/>
    </w:rPr>
  </w:style>
  <w:style w:type="character" w:styleId="Appletabspan" w:customStyle="1">
    <w:name w:val="apple-tab-span"/>
    <w:basedOn w:val="DefaultParagraphFont"/>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customStyle="1">
    <w:name w:val="Body Text"/>
    <w:basedOn w:val="Padro"/>
    <w:autoRedefine/>
    <w:qFormat/>
    <w:pPr>
      <w:spacing w:before="0" w:after="283"/>
    </w:pPr>
    <w:rPr>
      <w:rFonts w:ascii="Arial" w:hAnsi="Arial"/>
      <w:szCs w:val="20"/>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BlockText">
    <w:name w:val="Block Text"/>
    <w:basedOn w:val="Normal"/>
    <w:autoRedefine/>
    <w:unhideWhenUsed/>
    <w:qFormat/>
    <w:pPr>
      <w:tabs>
        <w:tab w:val="clear" w:pos="720"/>
        <w:tab w:val="left" w:pos="4751" w:leader="none"/>
      </w:tabs>
      <w:spacing w:before="120" w:after="0"/>
      <w:ind w:left="708" w:right="-143" w:hanging="0"/>
      <w:jc w:val="center"/>
    </w:pPr>
    <w:rPr>
      <w:rFonts w:ascii="Courier New" w:hAnsi="Courier New"/>
      <w:sz w:val="22"/>
      <w:szCs w:val="22"/>
    </w:rPr>
  </w:style>
  <w:style w:type="paragraph" w:styleId="Annotationtext">
    <w:name w:val="annotation text"/>
    <w:basedOn w:val="Normal"/>
    <w:link w:val="TextodecomentrioChar"/>
    <w:qFormat/>
    <w:pPr/>
    <w:rPr>
      <w:sz w:val="20"/>
    </w:rPr>
  </w:style>
  <w:style w:type="paragraph" w:styleId="BodyTextIndent2">
    <w:name w:val="Body Text Indent 2"/>
    <w:basedOn w:val="Normal"/>
    <w:link w:val="Recuodecorpodetexto2Char"/>
    <w:autoRedefine/>
    <w:unhideWhenUsed/>
    <w:qFormat/>
    <w:pPr>
      <w:spacing w:lineRule="auto" w:line="480" w:before="0" w:after="120"/>
      <w:ind w:left="283" w:hanging="0"/>
    </w:pPr>
    <w:rPr>
      <w:lang w:val="zh-CN" w:eastAsia="zh-CN"/>
    </w:rPr>
  </w:style>
  <w:style w:type="paragraph" w:styleId="Ttulododocumento">
    <w:name w:val="Title"/>
    <w:basedOn w:val="Normal"/>
    <w:link w:val="TtuloChar"/>
    <w:autoRedefine/>
    <w:uiPriority w:val="10"/>
    <w:qFormat/>
    <w:pPr>
      <w:jc w:val="center"/>
    </w:pPr>
    <w:rPr>
      <w:b/>
      <w:bCs/>
      <w:sz w:val="32"/>
      <w:lang w:val="zh-CN" w:eastAsia="zh-CN"/>
    </w:rPr>
  </w:style>
  <w:style w:type="paragraph" w:styleId="NormalWeb">
    <w:name w:val="Normal (Web)"/>
    <w:basedOn w:val="Normal"/>
    <w:autoRedefine/>
    <w:uiPriority w:val="99"/>
    <w:unhideWhenUsed/>
    <w:qFormat/>
    <w:pPr>
      <w:spacing w:beforeAutospacing="1" w:afterAutospacing="1"/>
    </w:pPr>
    <w:rPr/>
  </w:style>
  <w:style w:type="paragraph" w:styleId="Saudaesfinais">
    <w:name w:val="Salutation"/>
    <w:basedOn w:val="Normal"/>
    <w:link w:val="SaudaoChar1"/>
    <w:uiPriority w:val="99"/>
    <w:unhideWhenUsed/>
    <w:qFormat/>
    <w:pPr>
      <w:overflowPunct w:val="false"/>
      <w:jc w:val="both"/>
    </w:pPr>
    <w:rPr>
      <w:rFonts w:ascii="Arial" w:hAnsi="Arial"/>
      <w:lang w:val="zh-CN" w:eastAsia="zh-CN"/>
    </w:rPr>
  </w:style>
  <w:style w:type="paragraph" w:styleId="PlainText">
    <w:name w:val="Plain Text"/>
    <w:basedOn w:val="Normal"/>
    <w:link w:val="TextosemFormataoChar1"/>
    <w:autoRedefine/>
    <w:unhideWhenUsed/>
    <w:qFormat/>
    <w:pPr/>
    <w:rPr>
      <w:rFonts w:ascii="Courier New" w:hAnsi="Courier New"/>
      <w:sz w:val="20"/>
      <w:lang w:val="zh-CN" w:eastAsia="zh-CN"/>
    </w:rPr>
  </w:style>
  <w:style w:type="paragraph" w:styleId="BodyText3">
    <w:name w:val="Body Text 3"/>
    <w:basedOn w:val="Normal"/>
    <w:link w:val="Corpodetexto3Char"/>
    <w:autoRedefine/>
    <w:unhideWhenUsed/>
    <w:qFormat/>
    <w:pPr>
      <w:spacing w:before="0" w:after="120"/>
    </w:pPr>
    <w:rPr>
      <w:sz w:val="16"/>
      <w:szCs w:val="16"/>
      <w:lang w:val="zh-CN" w:eastAsia="zh-CN"/>
    </w:rPr>
  </w:style>
  <w:style w:type="paragraph" w:styleId="BodyText2">
    <w:name w:val="Body Text 2"/>
    <w:basedOn w:val="Normal"/>
    <w:link w:val="Corpodetexto2Char"/>
    <w:uiPriority w:val="99"/>
    <w:qFormat/>
    <w:pPr>
      <w:spacing w:lineRule="auto" w:line="480" w:before="0" w:after="120"/>
    </w:pPr>
    <w:rPr>
      <w:lang w:val="zh-CN" w:eastAsia="zh-CN"/>
    </w:rPr>
  </w:style>
  <w:style w:type="paragraph" w:styleId="CabealhoeRodap">
    <w:name w:val="Cabeçalho e Rodapé"/>
    <w:basedOn w:val="Normal"/>
    <w:qFormat/>
    <w:pPr/>
    <w:rPr/>
  </w:style>
  <w:style w:type="paragraph" w:styleId="Cabealho">
    <w:name w:val="Header"/>
    <w:basedOn w:val="Normal"/>
    <w:link w:val="CabealhoChar"/>
    <w:autoRedefine/>
    <w:uiPriority w:val="99"/>
    <w:qFormat/>
    <w:pPr>
      <w:tabs>
        <w:tab w:val="clear" w:pos="720"/>
        <w:tab w:val="center" w:pos="4252" w:leader="none"/>
        <w:tab w:val="right" w:pos="8504" w:leader="none"/>
      </w:tabs>
    </w:pPr>
    <w:rPr>
      <w:lang w:val="zh-CN" w:eastAsia="zh-CN"/>
    </w:rPr>
  </w:style>
  <w:style w:type="paragraph" w:styleId="Annotationsubject">
    <w:name w:val="annotation subject"/>
    <w:basedOn w:val="Annotationtext"/>
    <w:next w:val="Annotationtext"/>
    <w:link w:val="AssuntodocomentrioChar"/>
    <w:autoRedefine/>
    <w:qFormat/>
    <w:pPr/>
    <w:rPr>
      <w:b/>
      <w:bCs/>
    </w:rPr>
  </w:style>
  <w:style w:type="paragraph" w:styleId="Rodap">
    <w:name w:val="Footer"/>
    <w:basedOn w:val="Normal"/>
    <w:link w:val="RodapChar"/>
    <w:autoRedefine/>
    <w:uiPriority w:val="99"/>
    <w:qFormat/>
    <w:pPr>
      <w:tabs>
        <w:tab w:val="clear" w:pos="720"/>
        <w:tab w:val="center" w:pos="4419" w:leader="none"/>
        <w:tab w:val="right" w:pos="8838" w:leader="none"/>
      </w:tabs>
    </w:pPr>
    <w:rPr>
      <w:sz w:val="28"/>
      <w:lang w:val="zh-CN" w:eastAsia="zh-CN"/>
    </w:rPr>
  </w:style>
  <w:style w:type="paragraph" w:styleId="BodyTextIndent3">
    <w:name w:val="Body Text Indent 3"/>
    <w:basedOn w:val="Normal"/>
    <w:link w:val="Recuodecorpodetexto3Char"/>
    <w:unhideWhenUsed/>
    <w:qFormat/>
    <w:pPr>
      <w:spacing w:before="0" w:after="120"/>
      <w:ind w:left="283" w:hanging="0"/>
    </w:pPr>
    <w:rPr>
      <w:sz w:val="16"/>
      <w:szCs w:val="16"/>
      <w:lang w:val="zh-CN" w:eastAsia="zh-CN"/>
    </w:rPr>
  </w:style>
  <w:style w:type="paragraph" w:styleId="BalloonText">
    <w:name w:val="Balloon Text"/>
    <w:basedOn w:val="Normal"/>
    <w:link w:val="TextodebaloChar"/>
    <w:autoRedefine/>
    <w:semiHidden/>
    <w:qFormat/>
    <w:pPr/>
    <w:rPr>
      <w:rFonts w:ascii="Tahoma" w:hAnsi="Tahoma"/>
      <w:sz w:val="16"/>
      <w:szCs w:val="16"/>
      <w:lang w:val="zh-CN" w:eastAsia="zh-CN"/>
    </w:rPr>
  </w:style>
  <w:style w:type="paragraph" w:styleId="Subttulo">
    <w:name w:val="Subtitle"/>
    <w:basedOn w:val="Normal"/>
    <w:next w:val="Normal"/>
    <w:link w:val="SubttuloChar"/>
    <w:autoRedefine/>
    <w:qFormat/>
    <w:pPr>
      <w:jc w:val="center"/>
    </w:pPr>
    <w:rPr>
      <w:rFonts w:ascii="Arial" w:hAnsi="Arial" w:eastAsia="Arial" w:cs="Arial"/>
      <w:color w:val="000000"/>
      <w:sz w:val="28"/>
      <w:szCs w:val="28"/>
      <w:u w:val="single"/>
    </w:rPr>
  </w:style>
  <w:style w:type="paragraph" w:styleId="Notaderodap">
    <w:name w:val="Footnote Text"/>
    <w:basedOn w:val="Normal"/>
    <w:link w:val="TextodenotaderodapChar"/>
    <w:autoRedefine/>
    <w:qFormat/>
    <w:pPr/>
    <w:rPr>
      <w:sz w:val="20"/>
      <w:szCs w:val="20"/>
      <w:lang w:val="zh-CN" w:eastAsia="en-US"/>
    </w:rPr>
  </w:style>
  <w:style w:type="paragraph" w:styleId="Corpodotextorecuado">
    <w:name w:val="Body Text Indent"/>
    <w:basedOn w:val="Normal"/>
    <w:link w:val="RecuodecorpodetextoChar"/>
    <w:autoRedefine/>
    <w:qFormat/>
    <w:pPr>
      <w:ind w:firstLine="2124"/>
      <w:jc w:val="both"/>
    </w:pPr>
    <w:rPr>
      <w:rFonts w:ascii="Arial" w:hAnsi="Arial"/>
      <w:sz w:val="28"/>
      <w:lang w:val="zh-CN" w:eastAsia="zh-CN"/>
    </w:rPr>
  </w:style>
  <w:style w:type="paragraph" w:styleId="Default" w:customStyle="1">
    <w:name w:val="Default"/>
    <w:qFormat/>
    <w:pPr>
      <w:widowControl/>
      <w:suppressAutoHyphens w:val="true"/>
      <w:bidi w:val="0"/>
      <w:spacing w:before="0" w:after="0"/>
      <w:jc w:val="left"/>
    </w:pPr>
    <w:rPr>
      <w:rFonts w:ascii="Calibri" w:hAnsi="Calibri" w:eastAsia="Times New Roman" w:cs="Calibri"/>
      <w:color w:val="000000"/>
      <w:kern w:val="0"/>
      <w:sz w:val="24"/>
      <w:szCs w:val="24"/>
      <w:lang w:val="pt-BR" w:eastAsia="pt-BR" w:bidi="ar-SA"/>
    </w:rPr>
  </w:style>
  <w:style w:type="paragraph" w:styleId="ListParagraph">
    <w:name w:val="List Paragraph"/>
    <w:basedOn w:val="Normal"/>
    <w:autoRedefine/>
    <w:uiPriority w:val="34"/>
    <w:qFormat/>
    <w:pPr>
      <w:spacing w:before="0" w:after="0"/>
      <w:ind w:left="720" w:hanging="0"/>
      <w:contextualSpacing/>
    </w:pPr>
    <w:rPr/>
  </w:style>
  <w:style w:type="paragraph" w:styleId="P10" w:customStyle="1">
    <w:name w:val="p10"/>
    <w:basedOn w:val="Normal"/>
    <w:autoRedefine/>
    <w:qFormat/>
    <w:pPr>
      <w:widowControl w:val="false"/>
      <w:tabs>
        <w:tab w:val="clear" w:pos="720"/>
        <w:tab w:val="left" w:pos="360" w:leader="none"/>
      </w:tabs>
      <w:overflowPunct w:val="false"/>
      <w:spacing w:lineRule="atLeast" w:line="280"/>
    </w:pPr>
    <w:rPr>
      <w:rFonts w:ascii="Arial" w:hAnsi="Arial" w:cs="Arial"/>
    </w:rPr>
  </w:style>
  <w:style w:type="paragraph" w:styleId="Recuodecorpodetexto21" w:customStyle="1">
    <w:name w:val="Recuo de corpo de texto 21"/>
    <w:basedOn w:val="Normal"/>
    <w:autoRedefine/>
    <w:qFormat/>
    <w:pPr>
      <w:suppressAutoHyphens w:val="true"/>
      <w:ind w:left="2977" w:hanging="0"/>
      <w:jc w:val="both"/>
    </w:pPr>
    <w:rPr>
      <w:rFonts w:ascii="Arial Narrow" w:hAnsi="Arial Narrow"/>
      <w:lang w:eastAsia="ar-SA"/>
    </w:rPr>
  </w:style>
  <w:style w:type="paragraph" w:styleId="Corpodetexto21" w:customStyle="1">
    <w:name w:val="Corpo de texto 21"/>
    <w:basedOn w:val="Normal"/>
    <w:autoRedefine/>
    <w:qFormat/>
    <w:pPr>
      <w:widowControl w:val="false"/>
      <w:jc w:val="both"/>
    </w:pPr>
    <w:rPr>
      <w:rFonts w:ascii="Arial" w:hAnsi="Arial"/>
    </w:rPr>
  </w:style>
  <w:style w:type="paragraph" w:styleId="Padro" w:customStyle="1">
    <w:name w:val="Padrão"/>
    <w:autoRedefine/>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iltoanexo" w:customStyle="1">
    <w:name w:val="tilto anexo"/>
    <w:basedOn w:val="Padro"/>
    <w:autoRedefine/>
    <w:qFormat/>
    <w:pPr>
      <w:spacing w:before="0" w:after="120"/>
      <w:jc w:val="both"/>
    </w:pPr>
    <w:rPr>
      <w:rFonts w:ascii="Arial" w:hAnsi="Arial"/>
      <w:b/>
      <w:bCs/>
    </w:rPr>
  </w:style>
  <w:style w:type="paragraph" w:styleId="Saudao1" w:customStyle="1">
    <w:name w:val="Saudação1"/>
    <w:basedOn w:val="Normal"/>
    <w:qFormat/>
    <w:pPr>
      <w:overflowPunct w:val="false"/>
      <w:jc w:val="both"/>
    </w:pPr>
    <w:rPr>
      <w:rFonts w:ascii="Arial" w:hAnsi="Arial"/>
    </w:rPr>
  </w:style>
  <w:style w:type="paragraph" w:styleId="Standard" w:customStyle="1">
    <w:name w:val="Standard"/>
    <w:autoRedefine/>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qFormat/>
    <w:tblPr>
      <w:tblCellMar>
        <w:top w:w="0" w:type="dxa"/>
        <w:left w:w="0" w:type="dxa"/>
        <w:bottom w:w="0" w:type="dxa"/>
        <w:right w:w="0" w:type="dxa"/>
      </w:tblCellMar>
    </w:tblPr>
  </w:style>
  <w:style w:type="table" w:customStyle="1" w:styleId="Style76">
    <w:name w:val="_Style 76"/>
    <w:basedOn w:val="TableNormal"/>
    <w:qFormat/>
    <w:tblPr>
      <w:tblCellMar>
        <w:left w:w="115" w:type="dxa"/>
        <w:right w:w="115" w:type="dxa"/>
      </w:tblCellMar>
    </w:tblPr>
  </w:style>
  <w:style w:type="table" w:customStyle="1" w:styleId="Style77">
    <w:name w:val="_Style 77"/>
    <w:basedOn w:val="TableNormal"/>
    <w:qFormat/>
    <w:tblPr>
      <w:tblCellMar>
        <w:left w:w="70" w:type="dxa"/>
        <w:right w:w="70" w:type="dxa"/>
      </w:tblCellMar>
    </w:tblPr>
  </w:style>
  <w:style w:type="table" w:customStyle="1" w:styleId="Style78">
    <w:name w:val="_Style 78"/>
    <w:basedOn w:val="TableNormal"/>
    <w:qFormat/>
    <w:tblPr>
      <w:tblCellMar>
        <w:left w:w="115" w:type="dxa"/>
        <w:right w:w="115" w:type="dxa"/>
      </w:tblCellMar>
    </w:tblPr>
  </w:style>
  <w:style w:type="table" w:customStyle="1" w:styleId="Style79">
    <w:name w:val="_Style 79"/>
    <w:basedOn w:val="TableNormal"/>
    <w:qFormat/>
    <w:tblPr>
      <w:tblCellMar>
        <w:left w:w="115" w:type="dxa"/>
        <w:right w:w="115" w:type="dxa"/>
      </w:tblCellMar>
    </w:tblPr>
  </w:style>
  <w:style w:type="table" w:customStyle="1" w:styleId="Style84">
    <w:name w:val="_Style 84"/>
    <w:basedOn w:val="TableNormal"/>
    <w:qFormat/>
    <w:tblPr>
      <w:tblCellMar>
        <w:left w:w="115" w:type="dxa"/>
        <w:right w:w="115" w:type="dxa"/>
      </w:tblCellMar>
    </w:tblPr>
  </w:style>
  <w:style w:type="table" w:customStyle="1" w:styleId="Style85">
    <w:name w:val="_Style 85"/>
    <w:basedOn w:val="TableNormal"/>
    <w:qFormat/>
    <w:tblPr>
      <w:tblCellMar>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itardigital.com.br/" TargetMode="External"/><Relationship Id="rId3" Type="http://schemas.openxmlformats.org/officeDocument/2006/relationships/hyperlink" Target="http://www.licitardigital.com.br/" TargetMode="External"/><Relationship Id="rId4" Type="http://schemas.openxmlformats.org/officeDocument/2006/relationships/hyperlink" Target="http://www.licitardigital.com.br/" TargetMode="External"/><Relationship Id="rId5" Type="http://schemas.openxmlformats.org/officeDocument/2006/relationships/hyperlink" Target="http://www.aracuai.mg.gov.br/" TargetMode="External"/><Relationship Id="rId6" Type="http://schemas.openxmlformats.org/officeDocument/2006/relationships/hyperlink" Target="http://www.licitardigital.com.br/" TargetMode="External"/><Relationship Id="rId7" Type="http://schemas.openxmlformats.org/officeDocument/2006/relationships/hyperlink" Target="http://www.licitardigital.com.br/" TargetMode="External"/><Relationship Id="rId8" Type="http://schemas.openxmlformats.org/officeDocument/2006/relationships/hyperlink" Target="http://www.licitardigital.com.br/" TargetMode="External"/><Relationship Id="rId9"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1" Type="http://schemas.openxmlformats.org/officeDocument/2006/relationships/hyperlink" Target="http://www.licitardigital.com.br/" TargetMode="External"/><Relationship Id="rId12"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otnotes" Target="footnotes.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MNtJI+w+LI7CKnPnjC34aTHKTA==">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LibreOffice/7.2.4.1$Windows_X86_64 LibreOffice_project/27d75539669ac387bb498e35313b970b7fe9c4f9</Application>
  <AppVersion>15.0000</AppVersion>
  <Pages>41</Pages>
  <Words>13468</Words>
  <Characters>75537</Characters>
  <CharactersWithSpaces>88700</CharactersWithSpaces>
  <Paragraphs>649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2024-04-22T19:46:00Z</dcterms:created>
  <dc:creator>Cliente</dc:creator>
  <dc:description/>
  <dc:language>pt-BR</dc:language>
  <cp:lastModifiedBy/>
  <dcterms:modified xsi:type="dcterms:W3CDTF">2024-05-07T16:29:36Z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963C3046E6C34D16A9C612317692C5A8_13</vt:lpwstr>
  </property>
  <property fmtid="{D5CDD505-2E9C-101B-9397-08002B2CF9AE}" pid="3" name="KSOProductBuildVer">
    <vt:lpwstr>1046-12.2.0.16731</vt:lpwstr>
  </property>
</Properties>
</file>