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media/image1.png" ContentType="image/png"/>
  <Override PartName="/word/media/image2.png" ContentType="image/png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ing1"/>
        <w:spacing w:lineRule="auto" w:line="360" w:before="0" w:after="0"/>
        <w:jc w:val="center"/>
        <w:rPr>
          <w:rFonts w:ascii="Arial" w:hAnsi="Arial"/>
          <w:sz w:val="21"/>
          <w:szCs w:val="21"/>
        </w:rPr>
      </w:pPr>
      <w:r>
        <w:rPr>
          <w:sz w:val="21"/>
          <w:szCs w:val="21"/>
        </w:rPr>
      </w:r>
    </w:p>
    <w:p>
      <w:pPr>
        <w:pStyle w:val="Heading1"/>
        <w:spacing w:lineRule="auto" w:line="360" w:before="0" w:after="0"/>
        <w:jc w:val="center"/>
        <w:rPr>
          <w:rFonts w:ascii="Arial" w:hAnsi="Arial"/>
          <w:sz w:val="21"/>
          <w:szCs w:val="21"/>
        </w:rPr>
      </w:pPr>
      <w:r>
        <w:rPr>
          <w:sz w:val="21"/>
          <w:szCs w:val="21"/>
        </w:rPr>
        <w:t>MINUTA DO INSTRUMENTO DE CONTRATO</w:t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sz w:val="21"/>
          <w:szCs w:val="21"/>
        </w:rPr>
      </w:pPr>
      <w:r>
        <w:rPr>
          <w:rFonts w:eastAsia="Arial" w:cs="Arial" w:ascii="Arial" w:hAnsi="Arial"/>
          <w:sz w:val="21"/>
          <w:szCs w:val="21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sz w:val="21"/>
          <w:szCs w:val="21"/>
        </w:rPr>
      </w:pPr>
      <w:r>
        <w:rPr>
          <w:rFonts w:eastAsia="Arial" w:cs="Arial" w:ascii="Arial" w:hAnsi="Arial"/>
          <w:sz w:val="21"/>
          <w:szCs w:val="21"/>
        </w:rPr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b/>
          <w:sz w:val="21"/>
          <w:szCs w:val="21"/>
        </w:rPr>
        <w:t>PROCESSO LICITATÓRIO N.º 046/2024</w:t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b/>
          <w:sz w:val="21"/>
          <w:szCs w:val="21"/>
        </w:rPr>
        <w:t>INEXIGIBILIDADE N° 010/2024</w:t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  <w:sz w:val="21"/>
          <w:szCs w:val="21"/>
        </w:rPr>
      </w:pPr>
      <w:r>
        <w:rPr>
          <w:rFonts w:eastAsia="Arial" w:cs="Arial" w:ascii="Arial" w:hAnsi="Arial"/>
          <w:b/>
          <w:sz w:val="21"/>
          <w:szCs w:val="21"/>
        </w:rPr>
      </w:r>
    </w:p>
    <w:p>
      <w:pPr>
        <w:pStyle w:val="Normal"/>
        <w:spacing w:lineRule="auto" w:line="360"/>
        <w:jc w:val="center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b/>
          <w:sz w:val="21"/>
          <w:szCs w:val="21"/>
        </w:rPr>
        <w:t xml:space="preserve">CONTRATO N° </w:t>
      </w:r>
      <w:r>
        <w:rPr>
          <w:b/>
          <w:bCs/>
        </w:rPr>
        <w:t>13</w:t>
      </w:r>
      <w:r>
        <w:rPr>
          <w:b/>
          <w:bCs/>
        </w:rPr>
        <w:t>2</w:t>
      </w:r>
      <w:r>
        <w:rPr>
          <w:rFonts w:eastAsia="Arial" w:cs="Arial" w:ascii="Arial" w:hAnsi="Arial"/>
          <w:b/>
          <w:sz w:val="21"/>
          <w:szCs w:val="21"/>
        </w:rPr>
        <w:t>/2024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</w:tabs>
        <w:spacing w:lineRule="auto" w:line="360"/>
        <w:jc w:val="both"/>
        <w:rPr>
          <w:rFonts w:ascii="Arial" w:hAnsi="Arial" w:eastAsia="Arial" w:cs="Arial"/>
          <w:b/>
          <w:sz w:val="21"/>
          <w:szCs w:val="21"/>
        </w:rPr>
      </w:pPr>
      <w:r>
        <w:rPr>
          <w:rFonts w:eastAsia="Arial" w:cs="Arial" w:ascii="Arial" w:hAnsi="Arial"/>
          <w:b/>
          <w:sz w:val="21"/>
          <w:szCs w:val="21"/>
        </w:rPr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</w:tabs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b/>
          <w:sz w:val="21"/>
          <w:szCs w:val="21"/>
        </w:rPr>
        <w:t>PARTES:</w:t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b/>
          <w:sz w:val="21"/>
          <w:szCs w:val="21"/>
          <w:highlight w:val="lightGray"/>
        </w:rPr>
        <w:t>CONTRATANTE:</w:t>
      </w:r>
      <w:r>
        <w:rPr>
          <w:rFonts w:eastAsia="Arial" w:cs="Arial" w:ascii="Arial" w:hAnsi="Arial"/>
          <w:sz w:val="21"/>
          <w:szCs w:val="21"/>
        </w:rPr>
        <w:t xml:space="preserve">    </w:t>
        <w:tab/>
      </w:r>
    </w:p>
    <w:p>
      <w:pPr>
        <w:pStyle w:val="Normal"/>
        <w:tabs>
          <w:tab w:val="clear" w:pos="720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</w:tabs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sz w:val="21"/>
          <w:szCs w:val="21"/>
          <w:lang w:val="pt-BR"/>
        </w:rPr>
        <w:t>Prefeitura Municipal de Araçuaí</w:t>
      </w:r>
      <w:r>
        <w:rPr>
          <w:rFonts w:eastAsia="Arial" w:cs="Arial" w:ascii="Arial" w:hAnsi="Arial"/>
          <w:sz w:val="21"/>
          <w:szCs w:val="21"/>
        </w:rPr>
        <w:t>, com sede na</w:t>
      </w:r>
      <w:r>
        <w:rPr>
          <w:rFonts w:eastAsia="Arial" w:cs="Arial" w:ascii="Arial" w:hAnsi="Arial"/>
          <w:sz w:val="21"/>
          <w:szCs w:val="21"/>
          <w:lang w:val="pt-BR"/>
        </w:rPr>
        <w:t xml:space="preserve"> Praça Rui Barbosa</w:t>
      </w:r>
      <w:r>
        <w:rPr>
          <w:rFonts w:eastAsia="Arial" w:cs="Arial" w:ascii="Arial" w:hAnsi="Arial"/>
          <w:sz w:val="21"/>
          <w:szCs w:val="21"/>
        </w:rPr>
        <w:t xml:space="preserve">, nº </w:t>
      </w:r>
      <w:r>
        <w:rPr>
          <w:rFonts w:eastAsia="Arial" w:cs="Arial" w:ascii="Arial" w:hAnsi="Arial"/>
          <w:sz w:val="21"/>
          <w:szCs w:val="21"/>
          <w:lang w:val="pt-BR"/>
        </w:rPr>
        <w:t>26</w:t>
      </w:r>
      <w:r>
        <w:rPr>
          <w:rFonts w:eastAsia="Arial" w:cs="Arial" w:ascii="Arial" w:hAnsi="Arial"/>
          <w:sz w:val="21"/>
          <w:szCs w:val="21"/>
        </w:rPr>
        <w:t xml:space="preserve"> – Bairro </w:t>
      </w:r>
      <w:r>
        <w:rPr>
          <w:rFonts w:eastAsia="Arial" w:cs="Arial" w:ascii="Arial" w:hAnsi="Arial"/>
          <w:sz w:val="21"/>
          <w:szCs w:val="21"/>
          <w:lang w:val="pt-BR"/>
        </w:rPr>
        <w:t>Centro</w:t>
      </w:r>
      <w:r>
        <w:rPr>
          <w:rFonts w:eastAsia="Arial" w:cs="Arial" w:ascii="Arial" w:hAnsi="Arial"/>
          <w:sz w:val="21"/>
          <w:szCs w:val="21"/>
        </w:rPr>
        <w:t xml:space="preserve">, na cidade de </w:t>
      </w:r>
      <w:r>
        <w:rPr>
          <w:rFonts w:eastAsia="Arial" w:cs="Arial" w:ascii="Arial" w:hAnsi="Arial"/>
          <w:sz w:val="21"/>
          <w:szCs w:val="21"/>
          <w:lang w:val="pt-BR"/>
        </w:rPr>
        <w:t>Araçuaí</w:t>
      </w:r>
      <w:r>
        <w:rPr>
          <w:rFonts w:eastAsia="Arial" w:cs="Arial" w:ascii="Arial" w:hAnsi="Arial"/>
          <w:sz w:val="21"/>
          <w:szCs w:val="21"/>
        </w:rPr>
        <w:t xml:space="preserve">, CEP </w:t>
      </w:r>
      <w:r>
        <w:rPr>
          <w:rFonts w:eastAsia="Arial" w:cs="Arial" w:ascii="Arial" w:hAnsi="Arial"/>
          <w:sz w:val="21"/>
          <w:szCs w:val="21"/>
          <w:lang w:val="pt-BR"/>
        </w:rPr>
        <w:t>39600.000</w:t>
      </w:r>
      <w:r>
        <w:rPr>
          <w:rFonts w:eastAsia="Arial" w:cs="Arial" w:ascii="Arial" w:hAnsi="Arial"/>
          <w:sz w:val="21"/>
          <w:szCs w:val="21"/>
        </w:rPr>
        <w:t xml:space="preserve"> – </w:t>
      </w:r>
      <w:r>
        <w:rPr>
          <w:rFonts w:eastAsia="Arial" w:cs="Arial" w:ascii="Arial" w:hAnsi="Arial"/>
          <w:sz w:val="21"/>
          <w:szCs w:val="21"/>
          <w:lang w:val="pt-BR"/>
        </w:rPr>
        <w:t>MG</w:t>
      </w:r>
      <w:r>
        <w:rPr>
          <w:rFonts w:eastAsia="Arial" w:cs="Arial" w:ascii="Arial" w:hAnsi="Arial"/>
          <w:sz w:val="21"/>
          <w:szCs w:val="21"/>
        </w:rPr>
        <w:t xml:space="preserve">, inscrita no CNPJ/MF N. </w:t>
      </w:r>
      <w:r>
        <w:rPr>
          <w:rFonts w:eastAsia="Arial" w:cs="Arial" w:ascii="Arial" w:hAnsi="Arial"/>
          <w:sz w:val="21"/>
          <w:szCs w:val="21"/>
          <w:lang w:val="pt-BR"/>
        </w:rPr>
        <w:t>17.963.083.0001/17</w:t>
      </w:r>
      <w:r>
        <w:rPr>
          <w:rFonts w:eastAsia="Arial" w:cs="Arial" w:ascii="Arial" w:hAnsi="Arial"/>
          <w:sz w:val="21"/>
          <w:szCs w:val="21"/>
        </w:rPr>
        <w:t xml:space="preserve">, neste ato representado pelo seu Secretário Municipal de Desenvolvimento Urbano(Interino), o  </w:t>
      </w:r>
      <w:r>
        <w:rPr>
          <w:rFonts w:eastAsia="Arial" w:cs="Arial" w:ascii="Arial" w:hAnsi="Arial"/>
          <w:b/>
          <w:sz w:val="21"/>
          <w:szCs w:val="21"/>
        </w:rPr>
        <w:t>senhor</w:t>
      </w:r>
      <w:r>
        <w:rPr>
          <w:rFonts w:eastAsia="Arial" w:cs="Arial" w:ascii="Arial" w:hAnsi="Arial"/>
          <w:sz w:val="21"/>
          <w:szCs w:val="21"/>
        </w:rPr>
        <w:t xml:space="preserve"> Everaldo Souza Silva, </w:t>
      </w:r>
      <w:r>
        <w:rPr>
          <w:rFonts w:eastAsia="Arial" w:cs="Arial" w:ascii="Arial" w:hAnsi="Arial"/>
          <w:color w:val="000000"/>
          <w:spacing w:val="20"/>
          <w:sz w:val="21"/>
          <w:szCs w:val="21"/>
        </w:rPr>
        <w:t xml:space="preserve">brasileiro, divorciado, técnico agrícola, </w:t>
      </w:r>
      <w:r>
        <w:rPr>
          <w:rFonts w:eastAsia="Arial" w:cs="Arial" w:ascii="Arial" w:hAnsi="Arial"/>
          <w:bCs/>
          <w:color w:val="000000"/>
          <w:spacing w:val="20"/>
          <w:sz w:val="21"/>
          <w:szCs w:val="21"/>
        </w:rPr>
        <w:t>portador da carteira de identidade MG-8.982.883, expedida pela SSP/MG, portador do CPF N.028.178.116-82,</w:t>
      </w:r>
      <w:r>
        <w:rPr>
          <w:rFonts w:eastAsia="Arial" w:cs="Arial" w:ascii="Arial" w:hAnsi="Arial"/>
          <w:color w:val="000000"/>
          <w:spacing w:val="20"/>
          <w:sz w:val="21"/>
          <w:szCs w:val="21"/>
        </w:rPr>
        <w:t xml:space="preserve"> residente e domiciliado em Araçuaí- MG,</w:t>
      </w:r>
      <w:r>
        <w:rPr>
          <w:rFonts w:eastAsia="Arial" w:cs="Arial" w:ascii="Arial" w:hAnsi="Arial"/>
          <w:sz w:val="21"/>
          <w:szCs w:val="21"/>
        </w:rPr>
        <w:t xml:space="preserve">  e a </w:t>
      </w:r>
      <w:r>
        <w:rPr>
          <w:rFonts w:eastAsia="Arial" w:cs="Arial" w:ascii="Arial" w:hAnsi="Arial"/>
          <w:b/>
          <w:bCs/>
          <w:sz w:val="21"/>
          <w:szCs w:val="21"/>
        </w:rPr>
        <w:t xml:space="preserve">sua </w:t>
      </w:r>
      <w:r>
        <w:rPr>
          <w:rFonts w:eastAsia="Arial" w:cs="Arial" w:ascii="Arial" w:hAnsi="Arial"/>
          <w:b w:val="false"/>
          <w:bCs w:val="false"/>
          <w:sz w:val="21"/>
          <w:szCs w:val="21"/>
        </w:rPr>
        <w:t>Secretaria Municipal de Desenvolvimento Social(Interina), a Senhora Evangelina Sena Fulgêncio Jardim, brasileira, casada, residente e domiciliado em Araçuaí – MG, portadora do CPF: 75977079672,</w:t>
      </w:r>
      <w:r>
        <w:rPr>
          <w:rFonts w:eastAsia="Arial" w:cs="Arial" w:ascii="Arial" w:hAnsi="Arial"/>
          <w:sz w:val="21"/>
          <w:szCs w:val="21"/>
        </w:rPr>
        <w:t xml:space="preserve"> doravante denominada </w:t>
      </w:r>
      <w:r>
        <w:rPr>
          <w:rFonts w:eastAsia="Arial" w:cs="Arial" w:ascii="Arial" w:hAnsi="Arial"/>
          <w:b/>
          <w:sz w:val="21"/>
          <w:szCs w:val="21"/>
        </w:rPr>
        <w:t>CONTRATANTE</w:t>
      </w:r>
      <w:r>
        <w:rPr>
          <w:rFonts w:eastAsia="Arial" w:cs="Arial" w:ascii="Arial" w:hAnsi="Arial"/>
          <w:sz w:val="21"/>
          <w:szCs w:val="21"/>
        </w:rPr>
        <w:t>.</w:t>
      </w:r>
      <w:r>
        <w:rPr>
          <w:rFonts w:eastAsia="Arial" w:cs="Arial" w:ascii="Arial" w:hAnsi="Arial"/>
          <w:b/>
          <w:sz w:val="21"/>
          <w:szCs w:val="21"/>
        </w:rPr>
        <w:t xml:space="preserve"> </w:t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  <w:sz w:val="21"/>
          <w:szCs w:val="21"/>
          <w:highlight w:val="lightGray"/>
        </w:rPr>
      </w:pPr>
      <w:r>
        <w:rPr>
          <w:rFonts w:eastAsia="Arial" w:cs="Arial" w:ascii="Arial" w:hAnsi="Arial"/>
          <w:b/>
          <w:sz w:val="21"/>
          <w:szCs w:val="21"/>
          <w:highlight w:val="lightGray"/>
        </w:rPr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b/>
          <w:sz w:val="21"/>
          <w:szCs w:val="21"/>
          <w:highlight w:val="lightGray"/>
        </w:rPr>
        <w:t>CONTRATADA:</w:t>
      </w:r>
    </w:p>
    <w:p>
      <w:pPr>
        <w:pStyle w:val="Normal"/>
        <w:tabs>
          <w:tab w:val="clear" w:pos="720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</w:tabs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sz w:val="21"/>
          <w:szCs w:val="21"/>
        </w:rPr>
        <w:t xml:space="preserve">Liana Portilho Sociedade de Advogados, com sede na Rua Rio Grande do Norte, nº 1435 – CJ 1107, Bairro Funcionários, na cidade de Belo Horizonte- MG, CEP 30.130.138 – MG, inscrita no CNPJ/MF N. 11.188.675/0001-22, neste ato representada pelo sua representante legal , a  </w:t>
      </w:r>
      <w:r>
        <w:rPr>
          <w:rFonts w:eastAsia="Arial" w:cs="Arial" w:ascii="Arial" w:hAnsi="Arial"/>
          <w:b/>
          <w:sz w:val="21"/>
          <w:szCs w:val="21"/>
        </w:rPr>
        <w:t>senhora</w:t>
      </w:r>
      <w:r>
        <w:rPr>
          <w:rFonts w:eastAsia="Arial" w:cs="Arial" w:ascii="Arial" w:hAnsi="Arial"/>
          <w:sz w:val="21"/>
          <w:szCs w:val="21"/>
        </w:rPr>
        <w:t xml:space="preserve"> Liana Portilho Mattos, brasileira, viúva, advogada,  residente e domiciliada em Belo Horizonte- MG, portadora do CPF N.  862.460.976-34, </w:t>
      </w:r>
      <w:r>
        <w:rPr>
          <w:rFonts w:eastAsia="Arial" w:cs="Arial" w:ascii="Arial" w:hAnsi="Arial"/>
          <w:b/>
          <w:sz w:val="21"/>
          <w:szCs w:val="21"/>
        </w:rPr>
        <w:t>E-MAIL INSTITUCIONAL:</w:t>
      </w:r>
      <w:r>
        <w:rPr>
          <w:rFonts w:eastAsia="Arial" w:cs="Arial" w:ascii="Arial" w:hAnsi="Arial"/>
          <w:sz w:val="21"/>
          <w:szCs w:val="21"/>
        </w:rPr>
        <w:t xml:space="preserve"> liana@portilho.com.br, doravante denominada </w:t>
      </w:r>
      <w:r>
        <w:rPr>
          <w:rFonts w:eastAsia="Arial" w:cs="Arial" w:ascii="Arial" w:hAnsi="Arial"/>
          <w:b/>
          <w:sz w:val="21"/>
          <w:szCs w:val="21"/>
        </w:rPr>
        <w:t>CONTRATADA.</w:t>
      </w:r>
    </w:p>
    <w:p>
      <w:pPr>
        <w:pStyle w:val="Normal"/>
        <w:tabs>
          <w:tab w:val="clear" w:pos="720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</w:tabs>
        <w:spacing w:lineRule="auto" w:line="360"/>
        <w:jc w:val="both"/>
        <w:rPr>
          <w:rFonts w:ascii="Arial" w:hAnsi="Arial" w:eastAsia="Arial" w:cs="Arial"/>
          <w:sz w:val="21"/>
          <w:szCs w:val="21"/>
        </w:rPr>
      </w:pPr>
      <w:r>
        <w:rPr>
          <w:rFonts w:eastAsia="Arial" w:cs="Arial" w:ascii="Arial" w:hAnsi="Arial"/>
          <w:sz w:val="21"/>
          <w:szCs w:val="21"/>
        </w:rPr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sz w:val="21"/>
          <w:szCs w:val="21"/>
        </w:rPr>
        <w:t xml:space="preserve">Têm entre si justo e acordado celebrar o presente Instrumento de Contrato, devidamente autorizado, que se regerá pelas normas da Lei Federal nº. 14.133/21, decorrente do </w:t>
      </w:r>
      <w:r>
        <w:rPr>
          <w:rFonts w:eastAsia="Arial" w:cs="Arial" w:ascii="Arial" w:hAnsi="Arial"/>
          <w:b/>
          <w:sz w:val="21"/>
          <w:szCs w:val="21"/>
        </w:rPr>
        <w:t>Processo de Contratação nº. 046/202</w:t>
      </w:r>
      <w:r>
        <w:rPr>
          <w:rFonts w:eastAsia="Arial" w:cs="Arial" w:ascii="Arial" w:hAnsi="Arial"/>
          <w:b/>
          <w:sz w:val="21"/>
          <w:szCs w:val="21"/>
          <w:lang w:val="pt-BR"/>
        </w:rPr>
        <w:t>4</w:t>
      </w:r>
      <w:r>
        <w:rPr>
          <w:rFonts w:eastAsia="Arial" w:cs="Arial" w:ascii="Arial" w:hAnsi="Arial"/>
          <w:b/>
          <w:sz w:val="21"/>
          <w:szCs w:val="21"/>
        </w:rPr>
        <w:t>, Inexigibilidade nº. 010/202</w:t>
      </w:r>
      <w:r>
        <w:rPr>
          <w:rFonts w:eastAsia="Arial" w:cs="Arial" w:ascii="Arial" w:hAnsi="Arial"/>
          <w:b/>
          <w:sz w:val="21"/>
          <w:szCs w:val="21"/>
          <w:lang w:val="pt-BR"/>
        </w:rPr>
        <w:t>4</w:t>
      </w:r>
      <w:r>
        <w:rPr>
          <w:rFonts w:eastAsia="Arial" w:cs="Arial" w:ascii="Arial" w:hAnsi="Arial"/>
          <w:sz w:val="21"/>
          <w:szCs w:val="21"/>
        </w:rPr>
        <w:t xml:space="preserve"> e pelas condições que estipulam a seguir.</w:t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sz w:val="21"/>
          <w:szCs w:val="21"/>
        </w:rPr>
      </w:pPr>
      <w:r>
        <w:rPr>
          <w:rFonts w:eastAsia="Arial" w:cs="Arial" w:ascii="Arial" w:hAnsi="Arial"/>
          <w:sz w:val="21"/>
          <w:szCs w:val="21"/>
        </w:rPr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b/>
          <w:sz w:val="21"/>
          <w:szCs w:val="21"/>
          <w:highlight w:val="lightGray"/>
        </w:rPr>
        <w:t>CLÁUSULA PRIMEIRA – DO FUNDAMENTO.</w:t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sz w:val="21"/>
          <w:szCs w:val="21"/>
        </w:rPr>
        <w:t>Este contrato decorre do Processo n°</w:t>
      </w:r>
      <w:r>
        <w:rPr>
          <w:rFonts w:eastAsia="Arial" w:cs="Arial" w:ascii="Arial" w:hAnsi="Arial"/>
          <w:b/>
          <w:sz w:val="21"/>
          <w:szCs w:val="21"/>
        </w:rPr>
        <w:t xml:space="preserve"> 046/2024</w:t>
      </w:r>
      <w:r>
        <w:rPr>
          <w:rFonts w:eastAsia="Arial" w:cs="Arial" w:ascii="Arial" w:hAnsi="Arial"/>
          <w:sz w:val="21"/>
          <w:szCs w:val="21"/>
        </w:rPr>
        <w:t>, fundamentado em inexigibilidade de licitação, na forma do disposto no Artigo 74, III, “c”, da Lei Federal n° 14.133, de 1º de abril de 2021, mediante as seguintes cláusulas e condições:</w:t>
      </w:r>
    </w:p>
    <w:tbl>
      <w:tblPr>
        <w:tblStyle w:val="17"/>
        <w:tblpPr w:vertAnchor="text" w:horzAnchor="page" w:leftFromText="180" w:rightFromText="180" w:tblpX="1547" w:tblpY="244"/>
        <w:tblW w:w="9517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7"/>
        <w:gridCol w:w="6699"/>
        <w:gridCol w:w="1991"/>
      </w:tblGrid>
      <w:tr>
        <w:trPr>
          <w:trHeight w:val="420" w:hRule="atLeast"/>
        </w:trPr>
        <w:tc>
          <w:tcPr>
            <w:tcW w:w="827" w:type="dxa"/>
            <w:tcBorders/>
            <w:shd w:color="auto" w:fill="BEBEBE" w:themeFill="background1" w:themeFillShade="bf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both"/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bCs/>
                <w:kern w:val="0"/>
                <w:sz w:val="22"/>
                <w:szCs w:val="22"/>
              </w:rPr>
              <w:t>ITEM</w:t>
            </w:r>
          </w:p>
        </w:tc>
        <w:tc>
          <w:tcPr>
            <w:tcW w:w="6699" w:type="dxa"/>
            <w:tcBorders/>
            <w:shd w:color="auto" w:fill="BEBEBE" w:themeFill="background1" w:themeFillShade="bf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both"/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bCs/>
                <w:kern w:val="0"/>
                <w:sz w:val="22"/>
                <w:szCs w:val="22"/>
              </w:rPr>
              <w:t>DESCRIÇÃO DOS SERVIÇOS</w:t>
            </w:r>
          </w:p>
        </w:tc>
        <w:tc>
          <w:tcPr>
            <w:tcW w:w="1991" w:type="dxa"/>
            <w:tcBorders/>
            <w:shd w:color="auto" w:fill="BEBEBE" w:themeFill="background1" w:themeFillShade="bf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both"/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bCs/>
                <w:kern w:val="0"/>
                <w:sz w:val="22"/>
                <w:szCs w:val="22"/>
              </w:rPr>
              <w:t>V. TOTAL</w:t>
            </w:r>
          </w:p>
        </w:tc>
      </w:tr>
      <w:tr>
        <w:trPr/>
        <w:tc>
          <w:tcPr>
            <w:tcW w:w="82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both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kern w:val="0"/>
                <w:sz w:val="22"/>
                <w:szCs w:val="22"/>
              </w:rPr>
              <w:t>01</w:t>
            </w:r>
          </w:p>
        </w:tc>
        <w:tc>
          <w:tcPr>
            <w:tcW w:w="6699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both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kern w:val="0"/>
                <w:sz w:val="22"/>
                <w:szCs w:val="22"/>
                <w:lang w:val="en-US" w:eastAsia="zh-CN"/>
              </w:rPr>
              <w:t>Revisão do Plano Diretor e revisão/elaboração</w:t>
            </w:r>
            <w:r>
              <w:rPr>
                <w:rFonts w:eastAsia="Arial" w:cs="Arial" w:ascii="Arial" w:hAnsi="Arial"/>
                <w:kern w:val="0"/>
                <w:sz w:val="22"/>
                <w:szCs w:val="22"/>
                <w:lang w:eastAsia="zh-CN"/>
              </w:rPr>
              <w:t xml:space="preserve"> </w:t>
            </w:r>
            <w:r>
              <w:rPr>
                <w:rFonts w:eastAsia="Arial" w:cs="Arial" w:ascii="Arial" w:hAnsi="Arial"/>
                <w:kern w:val="0"/>
                <w:sz w:val="22"/>
                <w:szCs w:val="22"/>
                <w:lang w:val="en-US" w:eastAsia="zh-CN"/>
              </w:rPr>
              <w:t>da</w:t>
            </w:r>
            <w:r>
              <w:rPr>
                <w:rFonts w:eastAsia="Arial" w:cs="Arial" w:ascii="Arial" w:hAnsi="Arial"/>
                <w:kern w:val="0"/>
                <w:sz w:val="22"/>
                <w:szCs w:val="22"/>
                <w:lang w:eastAsia="zh-CN"/>
              </w:rPr>
              <w:t xml:space="preserve"> </w:t>
            </w:r>
            <w:r>
              <w:rPr>
                <w:rFonts w:eastAsia="Arial" w:cs="Arial" w:ascii="Arial" w:hAnsi="Arial"/>
                <w:kern w:val="0"/>
                <w:sz w:val="22"/>
                <w:szCs w:val="22"/>
                <w:lang w:val="en-US" w:eastAsia="zh-CN"/>
              </w:rPr>
              <w:t>legislação urbanística a ele complementar</w:t>
            </w:r>
            <w:r>
              <w:rPr>
                <w:rFonts w:eastAsia="Arial" w:cs="Arial" w:ascii="Arial" w:hAnsi="Arial"/>
                <w:kern w:val="0"/>
                <w:sz w:val="22"/>
                <w:szCs w:val="22"/>
                <w:lang w:eastAsia="zh-CN"/>
              </w:rPr>
              <w:t xml:space="preserve"> </w:t>
            </w:r>
            <w:r>
              <w:rPr>
                <w:rFonts w:eastAsia="Arial" w:cs="Arial" w:ascii="Arial" w:hAnsi="Arial"/>
                <w:kern w:val="0"/>
                <w:sz w:val="22"/>
                <w:szCs w:val="22"/>
                <w:lang w:val="en-US" w:eastAsia="zh-CN"/>
              </w:rPr>
              <w:t>(LPUOS, Código de Obras e Edificações, Código de Posturas</w:t>
            </w:r>
            <w:r>
              <w:rPr>
                <w:rFonts w:eastAsia="Arial" w:cs="Arial" w:ascii="Arial" w:hAnsi="Arial"/>
                <w:kern w:val="0"/>
                <w:sz w:val="22"/>
                <w:szCs w:val="22"/>
                <w:lang w:eastAsia="zh-CN"/>
              </w:rPr>
              <w:t xml:space="preserve"> </w:t>
            </w:r>
            <w:r>
              <w:rPr>
                <w:rFonts w:eastAsia="Arial" w:cs="Arial" w:ascii="Arial" w:hAnsi="Arial"/>
                <w:kern w:val="0"/>
                <w:sz w:val="22"/>
                <w:szCs w:val="22"/>
                <w:lang w:val="en-US" w:eastAsia="zh-CN"/>
              </w:rPr>
              <w:t>e Lei de Regulamentação dos Instrumentos Jurídico-Urbanístico)</w:t>
            </w:r>
          </w:p>
        </w:tc>
        <w:tc>
          <w:tcPr>
            <w:tcW w:w="1991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both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kern w:val="0"/>
                <w:sz w:val="22"/>
                <w:szCs w:val="22"/>
                <w:lang w:eastAsia="zh-CN"/>
              </w:rPr>
              <w:t>R$</w:t>
            </w:r>
            <w:r>
              <w:rPr>
                <w:rFonts w:eastAsia="Arial" w:cs="Arial" w:ascii="Arial" w:hAnsi="Arial"/>
                <w:kern w:val="0"/>
                <w:sz w:val="22"/>
                <w:szCs w:val="22"/>
                <w:lang w:val="pt-BR" w:eastAsia="zh-CN"/>
              </w:rPr>
              <w:t xml:space="preserve"> </w:t>
            </w:r>
            <w:r>
              <w:rPr>
                <w:rFonts w:eastAsia="Arial" w:cs="Arial" w:ascii="Arial" w:hAnsi="Arial"/>
                <w:kern w:val="0"/>
                <w:sz w:val="22"/>
                <w:szCs w:val="22"/>
                <w:lang w:eastAsia="zh-CN"/>
              </w:rPr>
              <w:t>647.000,00</w:t>
            </w:r>
          </w:p>
        </w:tc>
      </w:tr>
      <w:tr>
        <w:trPr/>
        <w:tc>
          <w:tcPr>
            <w:tcW w:w="82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both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kern w:val="0"/>
                <w:sz w:val="22"/>
                <w:szCs w:val="22"/>
              </w:rPr>
              <w:t>02</w:t>
            </w:r>
          </w:p>
        </w:tc>
        <w:tc>
          <w:tcPr>
            <w:tcW w:w="6699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both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kern w:val="0"/>
                <w:sz w:val="22"/>
                <w:szCs w:val="22"/>
                <w:lang w:val="en-US" w:eastAsia="zh-CN"/>
              </w:rPr>
              <w:t>Revisão da Política Municipal de Patrimônio</w:t>
            </w:r>
            <w:r>
              <w:rPr>
                <w:rFonts w:eastAsia="Arial" w:cs="Arial" w:ascii="Arial" w:hAnsi="Arial"/>
                <w:kern w:val="0"/>
                <w:sz w:val="22"/>
                <w:szCs w:val="22"/>
                <w:lang w:eastAsia="zh-CN"/>
              </w:rPr>
              <w:t xml:space="preserve"> </w:t>
            </w:r>
            <w:r>
              <w:rPr>
                <w:rFonts w:eastAsia="Arial" w:cs="Arial" w:ascii="Arial" w:hAnsi="Arial"/>
                <w:kern w:val="0"/>
                <w:sz w:val="22"/>
                <w:szCs w:val="22"/>
                <w:lang w:val="en-US" w:eastAsia="zh-CN"/>
              </w:rPr>
              <w:t xml:space="preserve">Cultural e do regimento do Conselho Municipal de </w:t>
            </w:r>
            <w:r>
              <w:rPr>
                <w:rFonts w:eastAsia="Arial" w:cs="Arial" w:ascii="Arial" w:hAnsi="Arial"/>
                <w:kern w:val="0"/>
                <w:sz w:val="22"/>
                <w:szCs w:val="22"/>
                <w:lang w:eastAsia="zh-CN"/>
              </w:rPr>
              <w:t xml:space="preserve"> </w:t>
            </w:r>
            <w:r>
              <w:rPr>
                <w:rFonts w:eastAsia="Arial" w:cs="Arial" w:ascii="Arial" w:hAnsi="Arial"/>
                <w:kern w:val="0"/>
                <w:sz w:val="22"/>
                <w:szCs w:val="22"/>
                <w:lang w:val="en-US" w:eastAsia="zh-CN"/>
              </w:rPr>
              <w:t>Patrimônio e revisão/elaboração das normas que regulamentam os instrumentos protetivo</w:t>
            </w:r>
            <w:r>
              <w:rPr>
                <w:rFonts w:eastAsia="Arial" w:cs="Arial" w:ascii="Arial" w:hAnsi="Arial"/>
                <w:kern w:val="0"/>
                <w:sz w:val="22"/>
                <w:szCs w:val="22"/>
                <w:lang w:eastAsia="zh-CN"/>
              </w:rPr>
              <w:t xml:space="preserve"> </w:t>
            </w:r>
            <w:r>
              <w:rPr>
                <w:rFonts w:eastAsia="Arial" w:cs="Arial" w:ascii="Arial" w:hAnsi="Arial"/>
                <w:kern w:val="0"/>
                <w:sz w:val="22"/>
                <w:szCs w:val="22"/>
                <w:lang w:val="en-US" w:eastAsia="zh-CN"/>
              </w:rPr>
              <w:t>patrimoniais</w:t>
            </w:r>
          </w:p>
        </w:tc>
        <w:tc>
          <w:tcPr>
            <w:tcW w:w="1991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both"/>
              <w:rPr>
                <w:rFonts w:ascii="Arial" w:hAnsi="Arial" w:eastAsia="Arial" w:cs="Arial"/>
                <w:sz w:val="22"/>
                <w:szCs w:val="22"/>
                <w:lang w:eastAsia="zh-CN"/>
              </w:rPr>
            </w:pPr>
            <w:r>
              <w:rPr>
                <w:rFonts w:eastAsia="Arial" w:cs="Arial" w:ascii="Arial" w:hAnsi="Arial"/>
                <w:sz w:val="22"/>
                <w:szCs w:val="22"/>
                <w:lang w:eastAsia="zh-CN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both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kern w:val="0"/>
                <w:sz w:val="22"/>
                <w:szCs w:val="22"/>
                <w:lang w:eastAsia="zh-CN"/>
              </w:rPr>
              <w:t>R$</w:t>
            </w:r>
            <w:r>
              <w:rPr>
                <w:rFonts w:eastAsia="Arial" w:cs="Arial" w:ascii="Arial" w:hAnsi="Arial"/>
                <w:kern w:val="0"/>
                <w:sz w:val="22"/>
                <w:szCs w:val="22"/>
                <w:lang w:val="pt-BR" w:eastAsia="zh-CN"/>
              </w:rPr>
              <w:t xml:space="preserve"> </w:t>
            </w:r>
            <w:r>
              <w:rPr>
                <w:rFonts w:eastAsia="Arial" w:cs="Arial" w:ascii="Arial" w:hAnsi="Arial"/>
                <w:kern w:val="0"/>
                <w:sz w:val="22"/>
                <w:szCs w:val="22"/>
                <w:lang w:eastAsia="zh-CN"/>
              </w:rPr>
              <w:t>137.000,00</w:t>
            </w:r>
          </w:p>
        </w:tc>
      </w:tr>
      <w:tr>
        <w:trPr/>
        <w:tc>
          <w:tcPr>
            <w:tcW w:w="82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both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kern w:val="0"/>
                <w:sz w:val="22"/>
                <w:szCs w:val="22"/>
              </w:rPr>
              <w:t>03</w:t>
            </w:r>
          </w:p>
        </w:tc>
        <w:tc>
          <w:tcPr>
            <w:tcW w:w="6699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both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kern w:val="0"/>
                <w:sz w:val="22"/>
                <w:szCs w:val="22"/>
                <w:lang w:val="en-US" w:eastAsia="zh-CN"/>
              </w:rPr>
              <w:t>Revisão do Dossiê de Tombamento do Núcleo Histórico.</w:t>
            </w:r>
          </w:p>
        </w:tc>
        <w:tc>
          <w:tcPr>
            <w:tcW w:w="1991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both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kern w:val="0"/>
                <w:sz w:val="22"/>
                <w:szCs w:val="22"/>
                <w:lang w:eastAsia="zh-CN"/>
              </w:rPr>
              <w:t>R$</w:t>
            </w:r>
            <w:r>
              <w:rPr>
                <w:rFonts w:eastAsia="Arial" w:cs="Arial" w:ascii="Arial" w:hAnsi="Arial"/>
                <w:kern w:val="0"/>
                <w:sz w:val="22"/>
                <w:szCs w:val="22"/>
                <w:lang w:val="pt-BR" w:eastAsia="zh-CN"/>
              </w:rPr>
              <w:t xml:space="preserve"> </w:t>
            </w:r>
            <w:r>
              <w:rPr>
                <w:rFonts w:eastAsia="Arial" w:cs="Arial" w:ascii="Arial" w:hAnsi="Arial"/>
                <w:kern w:val="0"/>
                <w:sz w:val="22"/>
                <w:szCs w:val="22"/>
                <w:lang w:eastAsia="zh-CN"/>
              </w:rPr>
              <w:t>117.000,00</w:t>
            </w:r>
          </w:p>
        </w:tc>
      </w:tr>
      <w:tr>
        <w:trPr/>
        <w:tc>
          <w:tcPr>
            <w:tcW w:w="82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both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kern w:val="0"/>
                <w:sz w:val="22"/>
                <w:szCs w:val="22"/>
              </w:rPr>
              <w:t>04</w:t>
            </w:r>
          </w:p>
        </w:tc>
        <w:tc>
          <w:tcPr>
            <w:tcW w:w="6699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both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kern w:val="0"/>
                <w:sz w:val="22"/>
                <w:szCs w:val="22"/>
                <w:lang w:val="en-US" w:eastAsia="zh-CN"/>
              </w:rPr>
              <w:t xml:space="preserve">Ações de Educação Patrimonial, Cartilha de </w:t>
            </w:r>
            <w:r>
              <w:rPr>
                <w:rFonts w:eastAsia="Arial" w:cs="Arial" w:ascii="Arial" w:hAnsi="Arial"/>
                <w:kern w:val="0"/>
                <w:sz w:val="22"/>
                <w:szCs w:val="22"/>
                <w:lang w:val="pt-BR" w:eastAsia="zh-CN"/>
              </w:rPr>
              <w:t xml:space="preserve"> </w:t>
            </w:r>
            <w:r>
              <w:rPr>
                <w:rFonts w:eastAsia="Arial" w:cs="Arial" w:ascii="Arial" w:hAnsi="Arial"/>
                <w:kern w:val="0"/>
                <w:sz w:val="22"/>
                <w:szCs w:val="22"/>
                <w:lang w:val="en-US" w:eastAsia="zh-CN"/>
              </w:rPr>
              <w:t>Educação Patrimonial e Material Lúdico-Interativo.</w:t>
            </w:r>
          </w:p>
        </w:tc>
        <w:tc>
          <w:tcPr>
            <w:tcW w:w="1991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both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kern w:val="0"/>
                <w:sz w:val="22"/>
                <w:szCs w:val="22"/>
                <w:lang w:eastAsia="zh-CN"/>
              </w:rPr>
              <w:t>R$ 59.000,00</w:t>
            </w:r>
          </w:p>
        </w:tc>
      </w:tr>
      <w:tr>
        <w:trPr/>
        <w:tc>
          <w:tcPr>
            <w:tcW w:w="82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both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kern w:val="0"/>
                <w:sz w:val="22"/>
                <w:szCs w:val="22"/>
              </w:rPr>
              <w:t>05</w:t>
            </w:r>
          </w:p>
        </w:tc>
        <w:tc>
          <w:tcPr>
            <w:tcW w:w="6699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both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kern w:val="0"/>
                <w:sz w:val="22"/>
                <w:szCs w:val="22"/>
                <w:lang w:val="en-US" w:eastAsia="zh-CN"/>
              </w:rPr>
              <w:t>Assessoramento Jurídico em questões afetas à Política Municipal de Patrimônio Cultural.</w:t>
            </w:r>
          </w:p>
        </w:tc>
        <w:tc>
          <w:tcPr>
            <w:tcW w:w="1991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both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kern w:val="0"/>
                <w:sz w:val="22"/>
                <w:szCs w:val="22"/>
                <w:lang w:eastAsia="zh-CN"/>
              </w:rPr>
              <w:t>R$ 90.814,33</w:t>
            </w:r>
          </w:p>
        </w:tc>
      </w:tr>
      <w:tr>
        <w:trPr>
          <w:trHeight w:val="377" w:hRule="atLeast"/>
        </w:trPr>
        <w:tc>
          <w:tcPr>
            <w:tcW w:w="7526" w:type="dxa"/>
            <w:gridSpan w:val="2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both"/>
              <w:rPr>
                <w:rFonts w:ascii="Arial" w:hAnsi="Arial" w:eastAsia="Arial" w:cs="Arial"/>
                <w:sz w:val="22"/>
                <w:szCs w:val="22"/>
                <w:lang w:val="en-US" w:eastAsia="zh-CN"/>
              </w:rPr>
            </w:pPr>
            <w:r>
              <w:rPr>
                <w:rFonts w:eastAsia="Arial" w:cs="Arial" w:ascii="Arial" w:hAnsi="Arial"/>
                <w:kern w:val="0"/>
                <w:sz w:val="22"/>
                <w:szCs w:val="22"/>
                <w:lang w:val="pt-BR"/>
              </w:rPr>
              <w:t>Valor Total</w:t>
            </w:r>
          </w:p>
        </w:tc>
        <w:tc>
          <w:tcPr>
            <w:tcW w:w="1991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both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kern w:val="0"/>
                <w:sz w:val="22"/>
                <w:szCs w:val="22"/>
                <w:lang w:eastAsia="zh-CN"/>
              </w:rPr>
              <w:t>R$</w:t>
            </w:r>
            <w:r>
              <w:rPr>
                <w:rFonts w:eastAsia="Arial" w:cs="Arial" w:ascii="Arial" w:hAnsi="Arial"/>
                <w:kern w:val="0"/>
                <w:sz w:val="22"/>
                <w:szCs w:val="22"/>
                <w:lang w:val="pt-BR" w:eastAsia="zh-CN"/>
              </w:rPr>
              <w:t xml:space="preserve"> </w:t>
            </w:r>
            <w:r>
              <w:rPr>
                <w:rFonts w:eastAsia="Arial" w:cs="Arial" w:ascii="Arial" w:hAnsi="Arial"/>
                <w:kern w:val="0"/>
                <w:sz w:val="22"/>
                <w:szCs w:val="22"/>
                <w:lang w:eastAsia="zh-CN"/>
              </w:rPr>
              <w:t>1.050.814,33</w:t>
            </w:r>
          </w:p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both"/>
              <w:rPr>
                <w:rFonts w:ascii="Arial" w:hAnsi="Arial" w:eastAsia="Arial" w:cs="Arial"/>
                <w:sz w:val="22"/>
                <w:szCs w:val="22"/>
                <w:lang w:eastAsia="zh-CN"/>
              </w:rPr>
            </w:pPr>
            <w:r>
              <w:rPr>
                <w:rFonts w:eastAsia="Arial" w:cs="Arial" w:ascii="Arial" w:hAnsi="Arial"/>
                <w:sz w:val="22"/>
                <w:szCs w:val="22"/>
                <w:lang w:eastAsia="zh-CN"/>
              </w:rPr>
            </w:r>
          </w:p>
        </w:tc>
      </w:tr>
    </w:tbl>
    <w:p>
      <w:pPr>
        <w:pStyle w:val="Normal"/>
        <w:spacing w:lineRule="auto" w:line="360"/>
        <w:jc w:val="both"/>
        <w:rPr>
          <w:rFonts w:ascii="Arial" w:hAnsi="Arial" w:eastAsia="Arial" w:cs="Arial"/>
          <w:sz w:val="21"/>
          <w:szCs w:val="21"/>
        </w:rPr>
      </w:pPr>
      <w:r>
        <w:rPr>
          <w:rFonts w:eastAsia="Arial" w:cs="Arial" w:ascii="Arial" w:hAnsi="Arial"/>
          <w:sz w:val="21"/>
          <w:szCs w:val="21"/>
        </w:rPr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/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b/>
          <w:sz w:val="21"/>
          <w:szCs w:val="21"/>
          <w:highlight w:val="lightGray"/>
        </w:rPr>
        <w:t>CLÁUSULA SEGUNDA – DO OBJETO.</w:t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sz w:val="21"/>
          <w:szCs w:val="21"/>
        </w:rPr>
        <w:t>Contratação de pessoa jurídica para prestação de serviços técnico especializados de consultoria e assessoramento jurídico para promover a revisão do Plano Diretor Municipal e da legislação urbanística a ele correlata, bem como a revisão e reestruturação da Política Municipal de Patrimônio Cultural de Araçuaí-MG.</w:t>
      </w:r>
    </w:p>
    <w:p>
      <w:pPr>
        <w:pStyle w:val="Normal"/>
        <w:tabs>
          <w:tab w:val="clear" w:pos="720"/>
          <w:tab w:val="left" w:pos="3686" w:leader="none"/>
        </w:tabs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b/>
          <w:sz w:val="21"/>
          <w:szCs w:val="21"/>
        </w:rPr>
        <w:t>PARÁGRAFO ÚNICO</w:t>
      </w:r>
      <w:r>
        <w:rPr>
          <w:rFonts w:eastAsia="Arial" w:cs="Arial" w:ascii="Arial" w:hAnsi="Arial"/>
          <w:sz w:val="21"/>
          <w:szCs w:val="21"/>
        </w:rPr>
        <w:t xml:space="preserve"> - Integra e completa o presente Instrumento de Contrato para todos os fins de direito, obrigando as partes em todos os seus termos, as condições do Processo de Con</w:t>
      </w:r>
      <w:r>
        <w:rPr>
          <w:rFonts w:eastAsia="Arial" w:cs="Arial" w:ascii="Arial" w:hAnsi="Arial"/>
          <w:sz w:val="21"/>
          <w:szCs w:val="21"/>
          <w:shd w:fill="auto" w:val="clear"/>
        </w:rPr>
        <w:t>tratação 046/202</w:t>
      </w:r>
      <w:r>
        <w:rPr>
          <w:rFonts w:eastAsia="Arial" w:cs="Arial" w:ascii="Arial" w:hAnsi="Arial"/>
          <w:sz w:val="21"/>
          <w:szCs w:val="21"/>
          <w:shd w:fill="auto" w:val="clear"/>
          <w:lang w:val="pt-BR"/>
        </w:rPr>
        <w:t>4</w:t>
      </w:r>
      <w:r>
        <w:rPr>
          <w:rFonts w:eastAsia="Arial" w:cs="Arial" w:ascii="Arial" w:hAnsi="Arial"/>
          <w:sz w:val="21"/>
          <w:szCs w:val="21"/>
          <w:shd w:fill="auto" w:val="clear"/>
        </w:rPr>
        <w:t xml:space="preserve"> e demais anexos que formam o Processo de Contratação, independente de transcrição.</w:t>
      </w:r>
    </w:p>
    <w:p>
      <w:pPr>
        <w:pStyle w:val="Normal"/>
        <w:tabs>
          <w:tab w:val="clear" w:pos="720"/>
          <w:tab w:val="left" w:pos="3686" w:leader="none"/>
        </w:tabs>
        <w:spacing w:lineRule="auto" w:line="360"/>
        <w:jc w:val="both"/>
        <w:rPr>
          <w:rFonts w:ascii="Arial" w:hAnsi="Arial" w:eastAsia="Arial" w:cs="Arial"/>
          <w:sz w:val="21"/>
          <w:szCs w:val="21"/>
        </w:rPr>
      </w:pPr>
      <w:r>
        <w:rPr>
          <w:rFonts w:eastAsia="Arial" w:cs="Arial" w:ascii="Arial" w:hAnsi="Arial"/>
          <w:sz w:val="21"/>
          <w:szCs w:val="21"/>
        </w:rPr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b/>
          <w:sz w:val="21"/>
          <w:szCs w:val="21"/>
          <w:highlight w:val="lightGray"/>
        </w:rPr>
        <w:t>CLÁUSULA TERCEIRA – DO VALOR DO CONTRATO</w:t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b/>
          <w:sz w:val="21"/>
          <w:szCs w:val="21"/>
        </w:rPr>
        <w:t>3.1</w:t>
      </w:r>
      <w:r>
        <w:rPr>
          <w:rFonts w:eastAsia="Arial" w:cs="Arial" w:ascii="Arial" w:hAnsi="Arial"/>
          <w:sz w:val="21"/>
          <w:szCs w:val="21"/>
        </w:rPr>
        <w:t xml:space="preserve"> - O valor global deste contrato é de R$ </w:t>
      </w:r>
      <w:r>
        <w:rPr>
          <w:rFonts w:eastAsia="Arial" w:cs="Arial" w:ascii="Arial" w:hAnsi="Arial"/>
          <w:sz w:val="21"/>
          <w:szCs w:val="21"/>
          <w:lang w:val="pt-BR"/>
        </w:rPr>
        <w:t>1.050,814,33</w:t>
      </w:r>
      <w:r>
        <w:rPr>
          <w:rFonts w:eastAsia="Arial" w:cs="Arial" w:ascii="Arial" w:hAnsi="Arial"/>
          <w:sz w:val="21"/>
          <w:szCs w:val="21"/>
        </w:rPr>
        <w:t xml:space="preserve"> (Hum milhão, </w:t>
      </w:r>
      <w:r>
        <w:rPr>
          <w:rFonts w:eastAsia="Arial" w:cs="Arial" w:ascii="Arial" w:hAnsi="Arial"/>
          <w:sz w:val="21"/>
          <w:szCs w:val="21"/>
          <w:lang w:val="pt-BR"/>
        </w:rPr>
        <w:t>e cinquenta mil</w:t>
      </w:r>
      <w:r>
        <w:rPr>
          <w:rFonts w:eastAsia="Arial" w:cs="Arial" w:ascii="Arial" w:hAnsi="Arial"/>
          <w:sz w:val="21"/>
          <w:szCs w:val="21"/>
        </w:rPr>
        <w:t xml:space="preserve">, </w:t>
      </w:r>
      <w:r>
        <w:rPr>
          <w:rFonts w:eastAsia="Arial" w:cs="Arial" w:ascii="Arial" w:hAnsi="Arial"/>
          <w:sz w:val="21"/>
          <w:szCs w:val="21"/>
          <w:lang w:val="pt-BR"/>
        </w:rPr>
        <w:t>oitocentos e quatorze reais e trinta e três</w:t>
      </w:r>
      <w:r>
        <w:rPr>
          <w:rFonts w:eastAsia="Arial" w:cs="Arial" w:ascii="Arial" w:hAnsi="Arial"/>
          <w:sz w:val="21"/>
          <w:szCs w:val="21"/>
        </w:rPr>
        <w:t xml:space="preserve"> centavos)</w:t>
      </w:r>
      <w:r>
        <w:rPr>
          <w:rFonts w:eastAsia="Arial" w:cs="Arial" w:ascii="Arial" w:hAnsi="Arial"/>
          <w:sz w:val="21"/>
          <w:szCs w:val="21"/>
          <w:lang w:val="pt-BR"/>
        </w:rPr>
        <w:t>.</w:t>
      </w:r>
      <w:bookmarkStart w:id="0" w:name="_GoBack"/>
      <w:bookmarkEnd w:id="0"/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b/>
          <w:sz w:val="21"/>
          <w:szCs w:val="21"/>
        </w:rPr>
        <w:t>3.2</w:t>
      </w:r>
      <w:r>
        <w:rPr>
          <w:rFonts w:eastAsia="Arial" w:cs="Arial" w:ascii="Arial" w:hAnsi="Arial"/>
          <w:sz w:val="21"/>
          <w:szCs w:val="21"/>
        </w:rPr>
        <w:t xml:space="preserve"> - Serão incorporados ao contrato, mediante Aditamento todas e quaisquer modificações, que venham ser necessárias durante sua vigência decorrente de alterações unilaterais do </w:t>
      </w:r>
      <w:r>
        <w:rPr>
          <w:rFonts w:eastAsia="Arial" w:cs="Arial" w:ascii="Arial" w:hAnsi="Arial"/>
          <w:b/>
          <w:sz w:val="21"/>
          <w:szCs w:val="21"/>
        </w:rPr>
        <w:t>CONTRATANTE</w:t>
      </w:r>
      <w:r>
        <w:rPr>
          <w:rFonts w:eastAsia="Arial" w:cs="Arial" w:ascii="Arial" w:hAnsi="Arial"/>
          <w:sz w:val="21"/>
          <w:szCs w:val="21"/>
        </w:rPr>
        <w:t xml:space="preserve"> ou por acordo entre as partes.</w:t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  <w:sz w:val="21"/>
          <w:szCs w:val="21"/>
        </w:rPr>
      </w:pPr>
      <w:r>
        <w:rPr>
          <w:rFonts w:eastAsia="Arial" w:cs="Arial" w:ascii="Arial" w:hAnsi="Arial"/>
          <w:b/>
          <w:sz w:val="21"/>
          <w:szCs w:val="21"/>
        </w:rPr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b/>
          <w:sz w:val="21"/>
          <w:szCs w:val="21"/>
          <w:highlight w:val="lightGray"/>
        </w:rPr>
        <w:t>CLÁUSULA QUARTA - DO PRAZO DE VIGÊNCIA</w:t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b/>
          <w:sz w:val="21"/>
          <w:szCs w:val="21"/>
        </w:rPr>
        <w:t xml:space="preserve">4.1 - </w:t>
      </w:r>
      <w:r>
        <w:rPr>
          <w:rFonts w:eastAsia="Arial" w:cs="Arial" w:ascii="Arial" w:hAnsi="Arial"/>
          <w:sz w:val="21"/>
          <w:szCs w:val="21"/>
        </w:rPr>
        <w:t>O presente instrumento terá vigência de 18 (dezoito) meses, contados a partir da data de sua assinatura, podendo ser prorrogado na forma do art. 105 da Lei nº 14.133/21.</w:t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/>
      </w:r>
    </w:p>
    <w:p>
      <w:pPr>
        <w:pStyle w:val="Normal"/>
        <w:spacing w:lineRule="auto" w:line="360" w:before="0" w:after="0"/>
        <w:ind w:hanging="0" w:right="27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b/>
          <w:color w:val="auto"/>
          <w:kern w:val="0"/>
          <w:sz w:val="21"/>
          <w:szCs w:val="21"/>
          <w:highlight w:val="lightGray"/>
          <w:lang w:val="pt-BR" w:eastAsia="pt-BR" w:bidi="ar-SA"/>
        </w:rPr>
        <w:t xml:space="preserve">CLÁUSULA QUINTA  DO PAGAMENTO </w:t>
      </w:r>
    </w:p>
    <w:p>
      <w:pPr>
        <w:pStyle w:val="Normal"/>
        <w:spacing w:lineRule="auto" w:line="360" w:before="0" w:after="0"/>
        <w:ind w:hanging="0" w:right="27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sz w:val="21"/>
          <w:szCs w:val="21"/>
        </w:rPr>
        <w:t>5.1. O pagamento será efetuado conforme a entrega dos serviços e aceita pelo órgão responsável, dentro de até 30 (trinta) dias consecutivos, conforme cronograma físico-financeiro abaixo.</w:t>
      </w:r>
    </w:p>
    <w:tbl>
      <w:tblPr>
        <w:tblStyle w:val="14"/>
        <w:tblpPr w:vertAnchor="text" w:horzAnchor="page" w:tblpXSpec="center" w:leftFromText="180" w:rightFromText="180" w:tblpY="244"/>
        <w:tblW w:w="867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2"/>
        <w:gridCol w:w="5234"/>
        <w:gridCol w:w="1774"/>
      </w:tblGrid>
      <w:tr>
        <w:trPr>
          <w:trHeight w:val="564" w:hRule="atLeast"/>
        </w:trPr>
        <w:tc>
          <w:tcPr>
            <w:tcW w:w="1662" w:type="dxa"/>
            <w:tcBorders/>
            <w:shd w:color="auto" w:fill="BEBEBE" w:themeFill="background1" w:themeFillShade="bf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eastAsia="Arial" w:cs="Arial"/>
                <w:b/>
                <w:bCs/>
                <w:highlight w:val="none"/>
              </w:rPr>
            </w:pPr>
            <w:r>
              <w:rPr>
                <w:rFonts w:eastAsia="Arial" w:cs="Arial" w:ascii="Arial" w:hAnsi="Arial"/>
                <w:b/>
                <w:bCs/>
                <w:kern w:val="0"/>
                <w:sz w:val="20"/>
              </w:rPr>
              <w:t>PARCELA</w:t>
            </w:r>
          </w:p>
        </w:tc>
        <w:tc>
          <w:tcPr>
            <w:tcW w:w="5234" w:type="dxa"/>
            <w:tcBorders/>
            <w:shd w:color="auto" w:fill="BEBEBE" w:themeFill="background1" w:themeFillShade="bf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eastAsia="Arial" w:cs="Arial"/>
                <w:b/>
                <w:bCs/>
                <w:highlight w:val="none"/>
              </w:rPr>
            </w:pPr>
            <w:r>
              <w:rPr>
                <w:rFonts w:eastAsia="Arial" w:cs="Arial" w:ascii="Arial" w:hAnsi="Arial"/>
                <w:b/>
                <w:bCs/>
                <w:kern w:val="0"/>
                <w:sz w:val="20"/>
              </w:rPr>
              <w:t>CRITÉRIO DE MEDIÇÃO</w:t>
            </w:r>
          </w:p>
        </w:tc>
        <w:tc>
          <w:tcPr>
            <w:tcW w:w="1774" w:type="dxa"/>
            <w:tcBorders/>
            <w:shd w:color="auto" w:fill="BEBEBE" w:themeFill="background1" w:themeFillShade="bf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eastAsia="Arial" w:cs="Arial"/>
                <w:b/>
                <w:bCs/>
                <w:highlight w:val="none"/>
              </w:rPr>
            </w:pPr>
            <w:r>
              <w:rPr>
                <w:rFonts w:eastAsia="Arial" w:cs="Arial" w:ascii="Arial" w:hAnsi="Arial"/>
                <w:b/>
                <w:bCs/>
                <w:kern w:val="0"/>
                <w:sz w:val="20"/>
              </w:rPr>
              <w:t>VALOR</w:t>
            </w:r>
          </w:p>
        </w:tc>
      </w:tr>
      <w:tr>
        <w:trPr>
          <w:trHeight w:val="338" w:hRule="atLeast"/>
        </w:trPr>
        <w:tc>
          <w:tcPr>
            <w:tcW w:w="1662" w:type="dxa"/>
            <w:tcBorders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eastAsia="Arial" w:cs="Arial"/>
                <w:bCs/>
                <w:highlight w:val="none"/>
              </w:rPr>
            </w:pPr>
            <w:r>
              <w:rPr>
                <w:rFonts w:eastAsia="Arial" w:cs="Arial" w:ascii="Arial" w:hAnsi="Arial"/>
                <w:bCs/>
                <w:kern w:val="0"/>
                <w:sz w:val="20"/>
              </w:rPr>
              <w:t>01</w:t>
            </w:r>
          </w:p>
        </w:tc>
        <w:tc>
          <w:tcPr>
            <w:tcW w:w="5234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Arial" w:cs="Arial"/>
                <w:highlight w:val="none"/>
              </w:rPr>
            </w:pPr>
            <w:r>
              <w:rPr>
                <w:rFonts w:eastAsia="Arial" w:cs="Arial" w:ascii="Arial" w:hAnsi="Arial"/>
                <w:kern w:val="0"/>
                <w:sz w:val="20"/>
              </w:rPr>
              <w:t>Relatório de medição contendo registro das atividades realizadas no 1º mês do contrato</w:t>
            </w:r>
          </w:p>
        </w:tc>
        <w:tc>
          <w:tcPr>
            <w:tcW w:w="1774" w:type="dxa"/>
            <w:tcBorders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eastAsia="Arial" w:cs="Arial"/>
                <w:strike/>
                <w:highlight w:val="none"/>
              </w:rPr>
            </w:pPr>
            <w:r>
              <w:rPr>
                <w:rFonts w:eastAsia="Arial" w:cs="Arial" w:ascii="Arial" w:hAnsi="Arial"/>
                <w:strike/>
              </w:rPr>
            </w:r>
          </w:p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eastAsia="Arial" w:cs="Arial"/>
                <w:highlight w:val="none"/>
              </w:rPr>
            </w:pPr>
            <w:r>
              <w:rPr>
                <w:rFonts w:eastAsia="Arial" w:cs="Arial" w:ascii="Arial" w:hAnsi="Arial"/>
                <w:kern w:val="0"/>
                <w:sz w:val="20"/>
              </w:rPr>
              <w:t>R$ 87.000,00</w:t>
            </w:r>
          </w:p>
        </w:tc>
      </w:tr>
      <w:tr>
        <w:trPr>
          <w:trHeight w:val="338" w:hRule="atLeast"/>
        </w:trPr>
        <w:tc>
          <w:tcPr>
            <w:tcW w:w="1662" w:type="dxa"/>
            <w:tcBorders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eastAsia="Arial" w:cs="Arial"/>
                <w:bCs/>
                <w:highlight w:val="none"/>
              </w:rPr>
            </w:pPr>
            <w:r>
              <w:rPr>
                <w:rFonts w:eastAsia="Arial" w:cs="Arial" w:ascii="Arial" w:hAnsi="Arial"/>
                <w:bCs/>
                <w:kern w:val="0"/>
                <w:sz w:val="20"/>
              </w:rPr>
              <w:t>02</w:t>
            </w:r>
          </w:p>
        </w:tc>
        <w:tc>
          <w:tcPr>
            <w:tcW w:w="5234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Arial" w:cs="Arial"/>
                <w:highlight w:val="none"/>
              </w:rPr>
            </w:pPr>
            <w:r>
              <w:rPr>
                <w:rFonts w:eastAsia="Arial" w:cs="Arial" w:ascii="Arial" w:hAnsi="Arial"/>
                <w:kern w:val="0"/>
                <w:sz w:val="20"/>
              </w:rPr>
              <w:t>Relatório de medição contendo registro das atividades realizadas no 2º mês do contrato</w:t>
            </w:r>
          </w:p>
        </w:tc>
        <w:tc>
          <w:tcPr>
            <w:tcW w:w="1774" w:type="dxa"/>
            <w:tcBorders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eastAsia="Arial" w:cs="Arial"/>
                <w:strike/>
                <w:highlight w:val="none"/>
              </w:rPr>
            </w:pPr>
            <w:r>
              <w:rPr>
                <w:rFonts w:eastAsia="Arial" w:cs="Arial" w:ascii="Arial" w:hAnsi="Arial"/>
                <w:strike/>
              </w:rPr>
            </w:r>
          </w:p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eastAsia="Arial" w:cs="Arial"/>
                <w:strike/>
                <w:highlight w:val="none"/>
              </w:rPr>
            </w:pPr>
            <w:r>
              <w:rPr>
                <w:rFonts w:eastAsia="Arial" w:cs="Arial" w:ascii="Arial" w:hAnsi="Arial"/>
                <w:kern w:val="0"/>
                <w:sz w:val="20"/>
              </w:rPr>
              <w:t>R$ 87.000,00</w:t>
            </w:r>
          </w:p>
        </w:tc>
      </w:tr>
      <w:tr>
        <w:trPr>
          <w:trHeight w:val="338" w:hRule="atLeast"/>
        </w:trPr>
        <w:tc>
          <w:tcPr>
            <w:tcW w:w="1662" w:type="dxa"/>
            <w:tcBorders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eastAsia="Arial" w:cs="Arial"/>
                <w:bCs/>
                <w:highlight w:val="none"/>
              </w:rPr>
            </w:pPr>
            <w:r>
              <w:rPr>
                <w:rFonts w:eastAsia="Arial" w:cs="Arial" w:ascii="Arial" w:hAnsi="Arial"/>
                <w:bCs/>
                <w:kern w:val="0"/>
                <w:sz w:val="20"/>
              </w:rPr>
              <w:t>03</w:t>
            </w:r>
          </w:p>
        </w:tc>
        <w:tc>
          <w:tcPr>
            <w:tcW w:w="5234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Arial" w:cs="Arial"/>
                <w:highlight w:val="none"/>
              </w:rPr>
            </w:pPr>
            <w:r>
              <w:rPr>
                <w:rFonts w:eastAsia="Arial" w:cs="Arial" w:ascii="Arial" w:hAnsi="Arial"/>
                <w:kern w:val="0"/>
                <w:sz w:val="20"/>
              </w:rPr>
              <w:t>Relatório de medição contendo registro das atividades realizadas no 3º mês do contrato</w:t>
            </w:r>
          </w:p>
        </w:tc>
        <w:tc>
          <w:tcPr>
            <w:tcW w:w="1774" w:type="dxa"/>
            <w:tcBorders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eastAsia="Arial" w:cs="Arial"/>
                <w:strike/>
                <w:highlight w:val="none"/>
              </w:rPr>
            </w:pPr>
            <w:r>
              <w:rPr>
                <w:rFonts w:eastAsia="Arial" w:cs="Arial" w:ascii="Arial" w:hAnsi="Arial"/>
                <w:kern w:val="0"/>
                <w:sz w:val="20"/>
              </w:rPr>
              <w:t>R$ 87.000,00</w:t>
            </w:r>
          </w:p>
        </w:tc>
      </w:tr>
      <w:tr>
        <w:trPr>
          <w:trHeight w:val="338" w:hRule="atLeast"/>
        </w:trPr>
        <w:tc>
          <w:tcPr>
            <w:tcW w:w="1662" w:type="dxa"/>
            <w:tcBorders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eastAsia="Arial" w:cs="Arial"/>
                <w:bCs/>
                <w:highlight w:val="none"/>
              </w:rPr>
            </w:pPr>
            <w:r>
              <w:rPr>
                <w:rFonts w:eastAsia="Arial" w:cs="Arial" w:ascii="Arial" w:hAnsi="Arial"/>
                <w:bCs/>
                <w:kern w:val="0"/>
                <w:sz w:val="20"/>
              </w:rPr>
              <w:t>04</w:t>
            </w:r>
          </w:p>
        </w:tc>
        <w:tc>
          <w:tcPr>
            <w:tcW w:w="5234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Arial" w:cs="Arial"/>
                <w:highlight w:val="none"/>
              </w:rPr>
            </w:pPr>
            <w:r>
              <w:rPr>
                <w:rFonts w:eastAsia="Arial" w:cs="Arial" w:ascii="Arial" w:hAnsi="Arial"/>
                <w:kern w:val="0"/>
                <w:sz w:val="20"/>
              </w:rPr>
              <w:t>Relatório de medição contendo registro das atividades realizadas no 4º mês do contrato</w:t>
            </w:r>
          </w:p>
        </w:tc>
        <w:tc>
          <w:tcPr>
            <w:tcW w:w="1774" w:type="dxa"/>
            <w:tcBorders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eastAsia="Arial" w:cs="Arial"/>
                <w:strike/>
                <w:highlight w:val="none"/>
                <w:lang w:val="en-US"/>
              </w:rPr>
            </w:pPr>
            <w:r>
              <w:rPr>
                <w:rFonts w:eastAsia="Arial" w:cs="Arial" w:ascii="Arial" w:hAnsi="Arial"/>
                <w:kern w:val="0"/>
                <w:sz w:val="20"/>
              </w:rPr>
              <w:t>R$ 87.000,00</w:t>
            </w:r>
          </w:p>
        </w:tc>
      </w:tr>
      <w:tr>
        <w:trPr>
          <w:trHeight w:val="338" w:hRule="atLeast"/>
        </w:trPr>
        <w:tc>
          <w:tcPr>
            <w:tcW w:w="1662" w:type="dxa"/>
            <w:tcBorders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eastAsia="Arial" w:cs="Arial"/>
                <w:bCs/>
                <w:highlight w:val="none"/>
              </w:rPr>
            </w:pPr>
            <w:r>
              <w:rPr>
                <w:rFonts w:eastAsia="Arial" w:cs="Arial" w:ascii="Arial" w:hAnsi="Arial"/>
                <w:bCs/>
                <w:kern w:val="0"/>
                <w:sz w:val="20"/>
              </w:rPr>
              <w:t>05</w:t>
            </w:r>
          </w:p>
        </w:tc>
        <w:tc>
          <w:tcPr>
            <w:tcW w:w="5234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Arial" w:cs="Arial"/>
                <w:highlight w:val="none"/>
              </w:rPr>
            </w:pPr>
            <w:r>
              <w:rPr>
                <w:rFonts w:eastAsia="Arial" w:cs="Arial" w:ascii="Arial" w:hAnsi="Arial"/>
                <w:kern w:val="0"/>
                <w:sz w:val="20"/>
              </w:rPr>
              <w:t>Relatório de medição contendo registro das atividades realizadas no 5º mês do contrato</w:t>
            </w:r>
          </w:p>
        </w:tc>
        <w:tc>
          <w:tcPr>
            <w:tcW w:w="1774" w:type="dxa"/>
            <w:tcBorders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eastAsia="Arial" w:cs="Arial"/>
                <w:strike/>
                <w:highlight w:val="none"/>
                <w:lang w:val="en-US"/>
              </w:rPr>
            </w:pPr>
            <w:r>
              <w:rPr>
                <w:rFonts w:eastAsia="Arial" w:cs="Arial" w:ascii="Arial" w:hAnsi="Arial"/>
                <w:kern w:val="0"/>
                <w:sz w:val="20"/>
              </w:rPr>
              <w:t>R$ 87.000,00</w:t>
            </w:r>
          </w:p>
        </w:tc>
      </w:tr>
      <w:tr>
        <w:trPr>
          <w:trHeight w:val="338" w:hRule="atLeast"/>
        </w:trPr>
        <w:tc>
          <w:tcPr>
            <w:tcW w:w="1662" w:type="dxa"/>
            <w:tcBorders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eastAsia="Arial" w:cs="Arial"/>
                <w:bCs/>
                <w:highlight w:val="none"/>
              </w:rPr>
            </w:pPr>
            <w:r>
              <w:rPr>
                <w:rFonts w:eastAsia="Arial" w:cs="Arial" w:ascii="Arial" w:hAnsi="Arial"/>
                <w:bCs/>
                <w:kern w:val="0"/>
                <w:sz w:val="20"/>
              </w:rPr>
              <w:t>06</w:t>
            </w:r>
          </w:p>
        </w:tc>
        <w:tc>
          <w:tcPr>
            <w:tcW w:w="5234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Arial" w:cs="Arial"/>
                <w:highlight w:val="none"/>
              </w:rPr>
            </w:pPr>
            <w:r>
              <w:rPr>
                <w:rFonts w:eastAsia="Arial" w:cs="Arial" w:ascii="Arial" w:hAnsi="Arial"/>
                <w:kern w:val="0"/>
                <w:sz w:val="20"/>
              </w:rPr>
              <w:t>Relatório de medição contendo registro das atividades realizadas no 6º mês do contrato</w:t>
            </w:r>
          </w:p>
        </w:tc>
        <w:tc>
          <w:tcPr>
            <w:tcW w:w="1774" w:type="dxa"/>
            <w:tcBorders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eastAsia="Arial" w:cs="Arial"/>
                <w:strike/>
                <w:highlight w:val="none"/>
                <w:lang w:val="en-US"/>
              </w:rPr>
            </w:pPr>
            <w:r>
              <w:rPr>
                <w:rFonts w:eastAsia="Arial" w:cs="Arial" w:ascii="Arial" w:hAnsi="Arial"/>
                <w:kern w:val="0"/>
                <w:sz w:val="20"/>
              </w:rPr>
              <w:t>R$ 87.000,00</w:t>
            </w:r>
          </w:p>
        </w:tc>
      </w:tr>
      <w:tr>
        <w:trPr>
          <w:trHeight w:val="338" w:hRule="atLeast"/>
        </w:trPr>
        <w:tc>
          <w:tcPr>
            <w:tcW w:w="1662" w:type="dxa"/>
            <w:tcBorders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eastAsia="Arial" w:cs="Arial"/>
                <w:bCs/>
                <w:highlight w:val="none"/>
              </w:rPr>
            </w:pPr>
            <w:r>
              <w:rPr>
                <w:rFonts w:eastAsia="Arial" w:cs="Arial" w:ascii="Arial" w:hAnsi="Arial"/>
                <w:bCs/>
                <w:kern w:val="0"/>
                <w:sz w:val="20"/>
              </w:rPr>
              <w:t>07</w:t>
            </w:r>
          </w:p>
        </w:tc>
        <w:tc>
          <w:tcPr>
            <w:tcW w:w="5234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Arial" w:cs="Arial"/>
                <w:highlight w:val="none"/>
              </w:rPr>
            </w:pPr>
            <w:r>
              <w:rPr>
                <w:rFonts w:eastAsia="Arial" w:cs="Arial" w:ascii="Arial" w:hAnsi="Arial"/>
                <w:kern w:val="0"/>
                <w:sz w:val="20"/>
              </w:rPr>
              <w:t>Relatório de medição contendo registro das atividades realizadas no 7º mês do contrato</w:t>
            </w:r>
          </w:p>
        </w:tc>
        <w:tc>
          <w:tcPr>
            <w:tcW w:w="1774" w:type="dxa"/>
            <w:tcBorders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eastAsia="Arial" w:cs="Arial"/>
                <w:strike/>
                <w:highlight w:val="none"/>
                <w:lang w:val="en-US"/>
              </w:rPr>
            </w:pPr>
            <w:r>
              <w:rPr>
                <w:rFonts w:eastAsia="Arial" w:cs="Arial" w:ascii="Arial" w:hAnsi="Arial"/>
                <w:kern w:val="0"/>
                <w:sz w:val="20"/>
              </w:rPr>
              <w:t>R$ 87.000,00</w:t>
            </w:r>
          </w:p>
        </w:tc>
      </w:tr>
      <w:tr>
        <w:trPr>
          <w:trHeight w:val="338" w:hRule="atLeast"/>
        </w:trPr>
        <w:tc>
          <w:tcPr>
            <w:tcW w:w="1662" w:type="dxa"/>
            <w:tcBorders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eastAsia="Arial" w:cs="Arial"/>
                <w:bCs/>
                <w:highlight w:val="none"/>
              </w:rPr>
            </w:pPr>
            <w:r>
              <w:rPr>
                <w:rFonts w:eastAsia="Arial" w:cs="Arial" w:ascii="Arial" w:hAnsi="Arial"/>
                <w:bCs/>
                <w:kern w:val="0"/>
                <w:sz w:val="20"/>
              </w:rPr>
              <w:t>08</w:t>
            </w:r>
          </w:p>
        </w:tc>
        <w:tc>
          <w:tcPr>
            <w:tcW w:w="5234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Arial" w:cs="Arial"/>
                <w:highlight w:val="none"/>
              </w:rPr>
            </w:pPr>
            <w:r>
              <w:rPr>
                <w:rFonts w:eastAsia="Arial" w:cs="Arial" w:ascii="Arial" w:hAnsi="Arial"/>
                <w:kern w:val="0"/>
                <w:sz w:val="20"/>
              </w:rPr>
              <w:t>Relatório de medição contendo registro das atividades realizadas no 8º mês do contrato</w:t>
            </w:r>
          </w:p>
        </w:tc>
        <w:tc>
          <w:tcPr>
            <w:tcW w:w="1774" w:type="dxa"/>
            <w:tcBorders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eastAsia="Arial" w:cs="Arial"/>
                <w:strike/>
                <w:highlight w:val="none"/>
                <w:lang w:val="en-US"/>
              </w:rPr>
            </w:pPr>
            <w:r>
              <w:rPr>
                <w:rFonts w:eastAsia="Arial" w:cs="Arial" w:ascii="Arial" w:hAnsi="Arial"/>
                <w:kern w:val="0"/>
                <w:sz w:val="20"/>
              </w:rPr>
              <w:t>R$ 87.000,00</w:t>
            </w:r>
          </w:p>
        </w:tc>
      </w:tr>
      <w:tr>
        <w:trPr>
          <w:trHeight w:val="338" w:hRule="atLeast"/>
        </w:trPr>
        <w:tc>
          <w:tcPr>
            <w:tcW w:w="1662" w:type="dxa"/>
            <w:tcBorders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eastAsia="Arial" w:cs="Arial"/>
                <w:bCs/>
                <w:highlight w:val="none"/>
              </w:rPr>
            </w:pPr>
            <w:r>
              <w:rPr>
                <w:rFonts w:eastAsia="Arial" w:cs="Arial" w:ascii="Arial" w:hAnsi="Arial"/>
                <w:bCs/>
                <w:kern w:val="0"/>
                <w:sz w:val="20"/>
              </w:rPr>
              <w:t>09</w:t>
            </w:r>
          </w:p>
        </w:tc>
        <w:tc>
          <w:tcPr>
            <w:tcW w:w="5234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Arial" w:cs="Arial"/>
                <w:highlight w:val="none"/>
              </w:rPr>
            </w:pPr>
            <w:r>
              <w:rPr>
                <w:rFonts w:eastAsia="Arial" w:cs="Arial" w:ascii="Arial" w:hAnsi="Arial"/>
                <w:kern w:val="0"/>
                <w:sz w:val="20"/>
              </w:rPr>
              <w:t>Relatório de medição contendo registro das atividades realizadas no 9º mês do contrato</w:t>
            </w:r>
          </w:p>
        </w:tc>
        <w:tc>
          <w:tcPr>
            <w:tcW w:w="1774" w:type="dxa"/>
            <w:tcBorders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eastAsia="Arial" w:cs="Arial"/>
                <w:strike/>
                <w:highlight w:val="none"/>
                <w:lang w:val="en-US"/>
              </w:rPr>
            </w:pPr>
            <w:r>
              <w:rPr>
                <w:rFonts w:eastAsia="Arial" w:cs="Arial" w:ascii="Arial" w:hAnsi="Arial"/>
                <w:kern w:val="0"/>
                <w:sz w:val="20"/>
              </w:rPr>
              <w:t>R$ 87.000,00</w:t>
            </w:r>
          </w:p>
        </w:tc>
      </w:tr>
      <w:tr>
        <w:trPr>
          <w:trHeight w:val="338" w:hRule="atLeast"/>
        </w:trPr>
        <w:tc>
          <w:tcPr>
            <w:tcW w:w="1662" w:type="dxa"/>
            <w:tcBorders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eastAsia="Arial" w:cs="Arial"/>
                <w:bCs/>
                <w:highlight w:val="none"/>
              </w:rPr>
            </w:pPr>
            <w:r>
              <w:rPr>
                <w:rFonts w:eastAsia="Arial" w:cs="Arial" w:ascii="Arial" w:hAnsi="Arial"/>
                <w:bCs/>
                <w:kern w:val="0"/>
                <w:sz w:val="20"/>
              </w:rPr>
              <w:t>10</w:t>
            </w:r>
          </w:p>
        </w:tc>
        <w:tc>
          <w:tcPr>
            <w:tcW w:w="5234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Arial" w:cs="Arial"/>
                <w:highlight w:val="none"/>
              </w:rPr>
            </w:pPr>
            <w:r>
              <w:rPr>
                <w:rFonts w:eastAsia="Arial" w:cs="Arial" w:ascii="Arial" w:hAnsi="Arial"/>
                <w:kern w:val="0"/>
                <w:sz w:val="20"/>
              </w:rPr>
              <w:t>Relatório de medição contendo registro das atividades realizadas no 10º mês do contrato</w:t>
            </w:r>
          </w:p>
        </w:tc>
        <w:tc>
          <w:tcPr>
            <w:tcW w:w="1774" w:type="dxa"/>
            <w:tcBorders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eastAsia="Arial" w:cs="Arial"/>
                <w:strike/>
                <w:highlight w:val="none"/>
                <w:lang w:val="en-US"/>
              </w:rPr>
            </w:pPr>
            <w:r>
              <w:rPr>
                <w:rFonts w:eastAsia="Arial" w:cs="Arial" w:ascii="Arial" w:hAnsi="Arial"/>
                <w:kern w:val="0"/>
                <w:sz w:val="20"/>
              </w:rPr>
              <w:t>R$ 87.000,00</w:t>
            </w:r>
          </w:p>
        </w:tc>
      </w:tr>
      <w:tr>
        <w:trPr>
          <w:trHeight w:val="338" w:hRule="atLeast"/>
        </w:trPr>
        <w:tc>
          <w:tcPr>
            <w:tcW w:w="1662" w:type="dxa"/>
            <w:tcBorders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eastAsia="Arial" w:cs="Arial"/>
                <w:bCs/>
                <w:highlight w:val="none"/>
              </w:rPr>
            </w:pPr>
            <w:r>
              <w:rPr>
                <w:rFonts w:eastAsia="Arial" w:cs="Arial" w:ascii="Arial" w:hAnsi="Arial"/>
                <w:bCs/>
                <w:kern w:val="0"/>
                <w:sz w:val="20"/>
              </w:rPr>
              <w:t>11</w:t>
            </w:r>
          </w:p>
        </w:tc>
        <w:tc>
          <w:tcPr>
            <w:tcW w:w="5234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Arial" w:cs="Arial"/>
                <w:highlight w:val="none"/>
              </w:rPr>
            </w:pPr>
            <w:r>
              <w:rPr>
                <w:rFonts w:eastAsia="Arial" w:cs="Arial" w:ascii="Arial" w:hAnsi="Arial"/>
                <w:kern w:val="0"/>
                <w:sz w:val="20"/>
              </w:rPr>
              <w:t>Relatório de medição contendo registro das atividades realizadas no 11º mês do contrato</w:t>
            </w:r>
          </w:p>
        </w:tc>
        <w:tc>
          <w:tcPr>
            <w:tcW w:w="1774" w:type="dxa"/>
            <w:tcBorders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eastAsia="Arial" w:cs="Arial"/>
                <w:strike/>
                <w:highlight w:val="none"/>
              </w:rPr>
            </w:pPr>
            <w:r>
              <w:rPr>
                <w:rFonts w:eastAsia="Arial" w:cs="Arial" w:ascii="Arial" w:hAnsi="Arial"/>
                <w:kern w:val="0"/>
                <w:sz w:val="20"/>
              </w:rPr>
              <w:t>R$ 87.000,00</w:t>
            </w:r>
          </w:p>
        </w:tc>
      </w:tr>
      <w:tr>
        <w:trPr>
          <w:trHeight w:val="338" w:hRule="atLeast"/>
        </w:trPr>
        <w:tc>
          <w:tcPr>
            <w:tcW w:w="1662" w:type="dxa"/>
            <w:tcBorders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eastAsia="Arial" w:cs="Arial"/>
                <w:bCs/>
                <w:highlight w:val="none"/>
              </w:rPr>
            </w:pPr>
            <w:r>
              <w:rPr>
                <w:rFonts w:eastAsia="Arial" w:cs="Arial" w:ascii="Arial" w:hAnsi="Arial"/>
                <w:bCs/>
                <w:kern w:val="0"/>
                <w:sz w:val="20"/>
              </w:rPr>
              <w:t>12</w:t>
            </w:r>
          </w:p>
        </w:tc>
        <w:tc>
          <w:tcPr>
            <w:tcW w:w="5234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Arial" w:cs="Arial"/>
                <w:highlight w:val="none"/>
              </w:rPr>
            </w:pPr>
            <w:r>
              <w:rPr>
                <w:rFonts w:eastAsia="Arial" w:cs="Arial" w:ascii="Arial" w:hAnsi="Arial"/>
                <w:kern w:val="0"/>
                <w:sz w:val="20"/>
              </w:rPr>
              <w:t>Relatório de medição contendo registro das atividades realizadas no 12º mês do contrato</w:t>
            </w:r>
          </w:p>
        </w:tc>
        <w:tc>
          <w:tcPr>
            <w:tcW w:w="1774" w:type="dxa"/>
            <w:tcBorders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eastAsia="Arial" w:cs="Arial"/>
                <w:strike/>
                <w:highlight w:val="none"/>
                <w:lang w:val="en-US"/>
              </w:rPr>
            </w:pPr>
            <w:r>
              <w:rPr>
                <w:rFonts w:eastAsia="Arial" w:cs="Arial" w:ascii="Arial" w:hAnsi="Arial"/>
                <w:kern w:val="0"/>
                <w:sz w:val="20"/>
              </w:rPr>
              <w:t>R$ 93.814,33</w:t>
            </w:r>
          </w:p>
        </w:tc>
      </w:tr>
      <w:tr>
        <w:trPr>
          <w:trHeight w:val="338" w:hRule="atLeast"/>
        </w:trPr>
        <w:tc>
          <w:tcPr>
            <w:tcW w:w="6896" w:type="dxa"/>
            <w:gridSpan w:val="2"/>
            <w:tcBorders/>
            <w:shd w:color="auto" w:fill="BEBEBE" w:themeFill="background1" w:themeFillShade="bf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ind w:hanging="0" w:right="-20"/>
              <w:jc w:val="center"/>
              <w:rPr>
                <w:rFonts w:ascii="Arial" w:hAnsi="Arial" w:eastAsia="Arial" w:cs="Arial"/>
                <w:b/>
                <w:highlight w:val="none"/>
                <w:lang w:eastAsia="zh-CN"/>
              </w:rPr>
            </w:pPr>
            <w:r>
              <w:rPr>
                <w:rFonts w:eastAsia="Arial" w:cs="Arial" w:ascii="Arial" w:hAnsi="Arial"/>
                <w:b/>
                <w:kern w:val="0"/>
                <w:sz w:val="20"/>
                <w:lang w:eastAsia="zh-CN"/>
              </w:rPr>
              <w:t>VALOR TOTAL</w:t>
            </w:r>
          </w:p>
        </w:tc>
        <w:tc>
          <w:tcPr>
            <w:tcW w:w="1774" w:type="dxa"/>
            <w:tcBorders/>
            <w:shd w:color="auto" w:fill="BEBEBE" w:themeFill="background1" w:themeFillShade="bf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ind w:hanging="0" w:right="-20"/>
              <w:jc w:val="center"/>
              <w:rPr>
                <w:rFonts w:ascii="Arial" w:hAnsi="Arial" w:eastAsia="Arial" w:cs="Arial"/>
                <w:b/>
                <w:highlight w:val="none"/>
                <w:lang w:eastAsia="zh-CN"/>
              </w:rPr>
            </w:pPr>
            <w:r>
              <w:rPr>
                <w:rFonts w:eastAsia="Arial" w:cs="Arial" w:ascii="Arial" w:hAnsi="Arial"/>
                <w:b/>
                <w:kern w:val="0"/>
                <w:sz w:val="20"/>
                <w:lang w:eastAsia="zh-CN"/>
              </w:rPr>
              <w:t>R$1.050.814,33</w:t>
            </w:r>
          </w:p>
        </w:tc>
      </w:tr>
    </w:tbl>
    <w:p>
      <w:pPr>
        <w:pStyle w:val="Normal"/>
        <w:spacing w:lineRule="auto" w:line="360" w:before="0" w:after="0"/>
        <w:ind w:hanging="0" w:right="27"/>
        <w:jc w:val="both"/>
        <w:rPr>
          <w:rFonts w:ascii="Arial" w:hAnsi="Arial" w:eastAsia="Arial" w:cs="Arial"/>
          <w:sz w:val="21"/>
          <w:szCs w:val="21"/>
        </w:rPr>
      </w:pPr>
      <w:r>
        <w:rPr>
          <w:rFonts w:eastAsia="Arial" w:cs="Arial" w:ascii="Arial" w:hAnsi="Arial"/>
          <w:sz w:val="21"/>
          <w:szCs w:val="21"/>
        </w:rPr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  <w:sz w:val="21"/>
          <w:szCs w:val="21"/>
          <w:highlight w:val="lightGray"/>
        </w:rPr>
      </w:pPr>
      <w:r>
        <w:rPr>
          <w:rFonts w:eastAsia="Arial" w:cs="Arial" w:ascii="Arial" w:hAnsi="Arial"/>
          <w:b/>
          <w:sz w:val="21"/>
          <w:szCs w:val="21"/>
          <w:highlight w:val="lightGray"/>
        </w:rPr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</w:tabs>
        <w:spacing w:lineRule="auto" w:line="360"/>
        <w:jc w:val="both"/>
        <w:rPr>
          <w:rFonts w:eastAsia="Trebuchet MS" w:cs="Arial"/>
          <w:b/>
        </w:rPr>
      </w:pPr>
      <w:r>
        <w:rPr>
          <w:rFonts w:eastAsia="Trebuchet MS" w:cs="Arial"/>
          <w:b/>
        </w:rPr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</w:tabs>
        <w:spacing w:lineRule="auto" w:line="360"/>
        <w:jc w:val="both"/>
        <w:rPr>
          <w:rFonts w:eastAsia="Trebuchet MS" w:cs="Arial"/>
          <w:b/>
        </w:rPr>
      </w:pPr>
      <w:r>
        <w:rPr>
          <w:rFonts w:eastAsia="Trebuchet MS" w:cs="Arial"/>
          <w:b/>
        </w:rPr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</w:tabs>
        <w:spacing w:lineRule="auto" w:line="360"/>
        <w:jc w:val="both"/>
        <w:rPr>
          <w:rFonts w:eastAsia="Trebuchet MS" w:cs="Arial"/>
          <w:b/>
        </w:rPr>
      </w:pPr>
      <w:r>
        <w:rPr>
          <w:rFonts w:eastAsia="Trebuchet MS" w:cs="Arial"/>
          <w:b/>
        </w:rPr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</w:tabs>
        <w:spacing w:lineRule="auto" w:line="360"/>
        <w:jc w:val="both"/>
        <w:rPr>
          <w:rFonts w:ascii="Arial" w:hAnsi="Arial"/>
          <w:sz w:val="21"/>
          <w:szCs w:val="21"/>
        </w:rPr>
      </w:pPr>
      <w:r>
        <w:rPr/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</w:tabs>
        <w:spacing w:lineRule="auto" w:line="360"/>
        <w:jc w:val="both"/>
        <w:rPr>
          <w:rFonts w:ascii="Arial" w:hAnsi="Arial"/>
          <w:sz w:val="21"/>
          <w:szCs w:val="21"/>
        </w:rPr>
      </w:pPr>
      <w:r>
        <w:rPr/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</w:tabs>
        <w:spacing w:lineRule="auto" w:line="360"/>
        <w:jc w:val="both"/>
        <w:rPr>
          <w:rFonts w:ascii="Arial" w:hAnsi="Arial"/>
          <w:sz w:val="21"/>
          <w:szCs w:val="21"/>
        </w:rPr>
      </w:pPr>
      <w:r>
        <w:rPr/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</w:tabs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Trebuchet MS" w:cs="Arial" w:ascii="Arial" w:hAnsi="Arial"/>
          <w:b/>
          <w:sz w:val="21"/>
          <w:szCs w:val="21"/>
        </w:rPr>
        <w:t>5.1.1 -</w:t>
      </w:r>
      <w:r>
        <w:rPr>
          <w:rFonts w:eastAsia="Trebuchet MS" w:cs="Arial" w:ascii="Arial" w:hAnsi="Arial"/>
          <w:sz w:val="21"/>
          <w:szCs w:val="21"/>
        </w:rPr>
        <w:t xml:space="preserve"> A Nota Fiscal correspondente deverá ser entregue pela </w:t>
      </w:r>
      <w:r>
        <w:rPr>
          <w:rFonts w:eastAsia="Trebuchet MS" w:cs="Arial" w:ascii="Arial" w:hAnsi="Arial"/>
          <w:b/>
          <w:sz w:val="21"/>
          <w:szCs w:val="21"/>
        </w:rPr>
        <w:t>CONTRATADA</w:t>
      </w:r>
      <w:r>
        <w:rPr>
          <w:rFonts w:eastAsia="Trebuchet MS" w:cs="Arial" w:ascii="Arial" w:hAnsi="Arial"/>
          <w:sz w:val="21"/>
          <w:szCs w:val="21"/>
        </w:rPr>
        <w:t xml:space="preserve"> diretamente ao responsável pela fiscalização que somente atestará a realização dos serviços e liberará a Nota Fiscal para pagamento quando cumpridas, pela </w:t>
      </w:r>
      <w:r>
        <w:rPr>
          <w:rFonts w:eastAsia="Trebuchet MS" w:cs="Arial" w:ascii="Arial" w:hAnsi="Arial"/>
          <w:b/>
          <w:sz w:val="21"/>
          <w:szCs w:val="21"/>
        </w:rPr>
        <w:t>CONTRATADA</w:t>
      </w:r>
      <w:r>
        <w:rPr>
          <w:rFonts w:eastAsia="Trebuchet MS" w:cs="Arial" w:ascii="Arial" w:hAnsi="Arial"/>
          <w:sz w:val="21"/>
          <w:szCs w:val="21"/>
        </w:rPr>
        <w:t>, todas as condições pactuadas.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</w:tabs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Trebuchet MS" w:cs="Arial" w:ascii="Arial" w:hAnsi="Arial"/>
          <w:b/>
          <w:sz w:val="21"/>
          <w:szCs w:val="21"/>
        </w:rPr>
        <w:t>5.1.2 -</w:t>
      </w:r>
      <w:r>
        <w:rPr>
          <w:rFonts w:eastAsia="Trebuchet MS" w:cs="Arial" w:ascii="Arial" w:hAnsi="Arial"/>
          <w:sz w:val="21"/>
          <w:szCs w:val="21"/>
        </w:rPr>
        <w:t xml:space="preserve"> A contagem para o 30º (trigésimo) dia, previsto no </w:t>
      </w:r>
      <w:r>
        <w:rPr>
          <w:rFonts w:eastAsia="Trebuchet MS" w:cs="Arial" w:ascii="Arial" w:hAnsi="Arial"/>
          <w:i/>
          <w:sz w:val="21"/>
          <w:szCs w:val="21"/>
        </w:rPr>
        <w:t>caput</w:t>
      </w:r>
      <w:r>
        <w:rPr>
          <w:rFonts w:eastAsia="Trebuchet MS" w:cs="Arial" w:ascii="Arial" w:hAnsi="Arial"/>
          <w:sz w:val="21"/>
          <w:szCs w:val="21"/>
        </w:rPr>
        <w:t>, só iniciar-se-á após a aceitação dos serviços prestados pela fiscalização do Município de Araçuaí - MG e cumprimento pela empresa de todas as condições pactuadas.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</w:tabs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Trebuchet MS" w:cs="Arial" w:ascii="Arial" w:hAnsi="Arial"/>
          <w:b/>
          <w:sz w:val="21"/>
          <w:szCs w:val="21"/>
        </w:rPr>
        <w:t>5.1.3 -</w:t>
      </w:r>
      <w:r>
        <w:rPr>
          <w:rFonts w:eastAsia="Trebuchet MS" w:cs="Arial" w:ascii="Arial" w:hAnsi="Arial"/>
          <w:sz w:val="21"/>
          <w:szCs w:val="21"/>
        </w:rPr>
        <w:t xml:space="preserve"> Para execução do pagamento, </w:t>
      </w:r>
      <w:r>
        <w:rPr>
          <w:rFonts w:eastAsia="Trebuchet MS" w:cs="Arial" w:ascii="Arial" w:hAnsi="Arial"/>
          <w:b/>
          <w:sz w:val="21"/>
          <w:szCs w:val="21"/>
        </w:rPr>
        <w:t>CONTRATADA</w:t>
      </w:r>
      <w:r>
        <w:rPr>
          <w:rFonts w:eastAsia="Trebuchet MS" w:cs="Arial" w:ascii="Arial" w:hAnsi="Arial"/>
          <w:sz w:val="21"/>
          <w:szCs w:val="21"/>
        </w:rPr>
        <w:t xml:space="preserve"> deverá fazer constar na Nota Fiscal correspondente, emitida sem rasura, em letra bem legível, em nome do Município de Araçuaí, informando o número de sua conta corrente e agência Bancária, bem como o número da Ordem de Compra.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</w:tabs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Trebuchet MS" w:cs="Arial" w:ascii="Arial" w:hAnsi="Arial"/>
          <w:b/>
          <w:sz w:val="21"/>
          <w:szCs w:val="21"/>
        </w:rPr>
        <w:t>5.1.4 -</w:t>
      </w:r>
      <w:r>
        <w:rPr>
          <w:rFonts w:eastAsia="Trebuchet MS" w:cs="Arial" w:ascii="Arial" w:hAnsi="Arial"/>
          <w:sz w:val="21"/>
          <w:szCs w:val="21"/>
        </w:rPr>
        <w:t xml:space="preserve"> Havendo erro na Nota Fiscal ou circunstâncias que impeçam a liquidação da despesa, aquela será devolvida à </w:t>
      </w:r>
      <w:r>
        <w:rPr>
          <w:rFonts w:eastAsia="Trebuchet MS" w:cs="Arial" w:ascii="Arial" w:hAnsi="Arial"/>
          <w:b/>
          <w:sz w:val="21"/>
          <w:szCs w:val="21"/>
        </w:rPr>
        <w:t>CONTRATADA</w:t>
      </w:r>
      <w:r>
        <w:rPr>
          <w:rFonts w:eastAsia="Trebuchet MS" w:cs="Arial" w:ascii="Arial" w:hAnsi="Arial"/>
          <w:sz w:val="21"/>
          <w:szCs w:val="21"/>
        </w:rPr>
        <w:t xml:space="preserve"> e o pagamento ficará pendente até que o mesmo providencie as medidas saneadoras. Nesta hipótese, o prazo para pagamento iniciar-se-á após a regularização da situação ou reapresentação do documento fiscal, não acarretando quaisquer ônus ao Município de Araçuaí.</w:t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Trebuchet MS" w:cs="Arial" w:ascii="Arial" w:hAnsi="Arial"/>
          <w:b/>
          <w:bCs/>
          <w:sz w:val="21"/>
          <w:szCs w:val="21"/>
          <w:shd w:fill="auto" w:val="clear"/>
        </w:rPr>
        <w:t>5.2</w:t>
      </w:r>
      <w:r>
        <w:rPr>
          <w:rFonts w:eastAsia="Trebuchet MS" w:cs="Arial" w:ascii="Arial" w:hAnsi="Arial"/>
          <w:b w:val="false"/>
          <w:bCs w:val="false"/>
          <w:sz w:val="21"/>
          <w:szCs w:val="21"/>
          <w:shd w:fill="auto" w:val="clear"/>
        </w:rPr>
        <w:t xml:space="preserve"> - A critério da Administração poderão ser descontados dos pagamentos devidos, os valores para cobrir despesas com multas, indenizações a terceiros ou outras de responsabilidade da CONTRATADA.</w:t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  <w:sz w:val="21"/>
          <w:szCs w:val="21"/>
          <w:highlight w:val="lightGray"/>
        </w:rPr>
      </w:pPr>
      <w:r>
        <w:rPr>
          <w:rFonts w:eastAsia="Arial" w:cs="Arial" w:ascii="Arial" w:hAnsi="Arial"/>
          <w:b/>
          <w:sz w:val="21"/>
          <w:szCs w:val="21"/>
          <w:highlight w:val="lightGray"/>
        </w:rPr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b/>
          <w:sz w:val="21"/>
          <w:szCs w:val="21"/>
          <w:highlight w:val="lightGray"/>
        </w:rPr>
        <w:t>CLÁUSULA SÉTIMA - DO REAJUSTAMENTO</w:t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b/>
          <w:sz w:val="21"/>
          <w:szCs w:val="21"/>
        </w:rPr>
        <w:t>7.1</w:t>
      </w:r>
      <w:r>
        <w:rPr>
          <w:rFonts w:eastAsia="Arial" w:cs="Arial" w:ascii="Arial" w:hAnsi="Arial"/>
          <w:sz w:val="21"/>
          <w:szCs w:val="21"/>
        </w:rPr>
        <w:t xml:space="preserve"> – O preço estabelecido não sofrerá reajustes.</w:t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sz w:val="21"/>
          <w:szCs w:val="21"/>
        </w:rPr>
      </w:pPr>
      <w:r>
        <w:rPr>
          <w:rFonts w:eastAsia="Arial" w:cs="Arial" w:ascii="Arial" w:hAnsi="Arial"/>
          <w:sz w:val="21"/>
          <w:szCs w:val="21"/>
        </w:rPr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b/>
          <w:sz w:val="21"/>
          <w:szCs w:val="21"/>
          <w:highlight w:val="lightGray"/>
        </w:rPr>
        <w:t>CLÁUSULA OITAVA – DA DOTAÇÃO ORÇAMENTÁRIA</w:t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b/>
          <w:sz w:val="21"/>
          <w:szCs w:val="21"/>
        </w:rPr>
        <w:t xml:space="preserve">8.1 - </w:t>
      </w:r>
      <w:r>
        <w:rPr>
          <w:rFonts w:eastAsia="Arial" w:cs="Arial" w:ascii="Arial" w:hAnsi="Arial"/>
          <w:sz w:val="21"/>
          <w:szCs w:val="21"/>
        </w:rPr>
        <w:t>As despesas decorrentes do presente instrumento correrão à conta das seguintes dotações orçamentárias:</w:t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sz w:val="21"/>
          <w:szCs w:val="21"/>
        </w:rPr>
        <w:t xml:space="preserve"> </w:t>
      </w:r>
      <w:r>
        <w:rPr>
          <w:rFonts w:eastAsia="Arial" w:cs="Arial" w:ascii="Arial" w:hAnsi="Arial"/>
          <w:sz w:val="21"/>
          <w:szCs w:val="21"/>
        </w:rPr>
        <w:t>008.001.15.122.55112109.339039.000 - Ficha 954 - Fonte 1500</w:t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b w:val="false"/>
          <w:bCs w:val="false"/>
          <w:color w:val="000000"/>
          <w:sz w:val="21"/>
          <w:szCs w:val="21"/>
          <w:shd w:fill="auto" w:val="clear"/>
        </w:rPr>
        <w:t>006.008.13.391.55082092.339039.000 - Ficha 754 - Fonte 1500</w:t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b/>
          <w:color w:val="000000"/>
          <w:sz w:val="21"/>
          <w:szCs w:val="21"/>
        </w:rPr>
      </w:pPr>
      <w:r>
        <w:rPr>
          <w:rFonts w:eastAsia="Arial" w:cs="Arial" w:ascii="Arial" w:hAnsi="Arial"/>
          <w:b/>
          <w:color w:val="000000"/>
          <w:sz w:val="21"/>
          <w:szCs w:val="21"/>
        </w:rPr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b/>
          <w:sz w:val="21"/>
          <w:szCs w:val="21"/>
          <w:highlight w:val="lightGray"/>
        </w:rPr>
        <w:t>CLÁUSULA NONA – DAS OBRIGAÇÕES DO CONTRATANTE</w:t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b/>
          <w:color w:val="000000"/>
          <w:sz w:val="21"/>
          <w:szCs w:val="21"/>
          <w:shd w:fill="auto" w:val="clear"/>
        </w:rPr>
        <w:t xml:space="preserve">9.1 </w:t>
      </w:r>
      <w:r>
        <w:rPr>
          <w:rFonts w:eastAsia="Arial" w:cs="Arial" w:ascii="Arial" w:hAnsi="Arial"/>
          <w:color w:val="000000"/>
          <w:sz w:val="21"/>
          <w:szCs w:val="21"/>
          <w:shd w:fill="auto" w:val="clear"/>
        </w:rPr>
        <w:t>O Contratante obriga-se a:</w:t>
      </w:r>
    </w:p>
    <w:p>
      <w:pPr>
        <w:pStyle w:val="Normal"/>
        <w:spacing w:lineRule="auto" w:line="360"/>
        <w:ind w:hanging="0" w:right="27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b/>
          <w:color w:val="000000"/>
          <w:sz w:val="21"/>
          <w:szCs w:val="21"/>
          <w:shd w:fill="auto" w:val="clear"/>
        </w:rPr>
        <w:t>9.1.2</w:t>
      </w:r>
      <w:r>
        <w:rPr>
          <w:rFonts w:eastAsia="Arial" w:cs="Arial" w:ascii="Arial" w:hAnsi="Arial"/>
          <w:sz w:val="21"/>
          <w:szCs w:val="21"/>
        </w:rPr>
        <w:t xml:space="preserve"> Caberá ao contratante prestar apoio logístico ao contratado para a realização das atividades presenciais previstas nesta Proposta, sejam elas reuniões, visitas de campo e/ou eventos participativos, devendo indicar servidores e técnicos componentes dos quadros do Executivo Municipal para o acompanhamento das atividades, disponibilizar veículos e espaços físicos para a realização das atividades, além de realizar, por meio da Assessoria de Comunicação, com orientação da Proponente, as atividades de mobilização social, a elaboração de materiais gráficos de divulgação dos eventos participativos e a publicação do material de divulgação nos meios de comunicação.</w:t>
      </w:r>
    </w:p>
    <w:p>
      <w:pPr>
        <w:pStyle w:val="Normal"/>
        <w:spacing w:lineRule="auto" w:line="360"/>
        <w:ind w:hanging="0" w:right="27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b/>
          <w:color w:val="000000"/>
          <w:sz w:val="21"/>
          <w:szCs w:val="21"/>
          <w:shd w:fill="auto" w:val="clear"/>
        </w:rPr>
        <w:t>9.1.3</w:t>
      </w:r>
      <w:r>
        <w:rPr>
          <w:rFonts w:eastAsia="Arial" w:cs="Arial" w:ascii="Arial" w:hAnsi="Arial"/>
          <w:sz w:val="21"/>
          <w:szCs w:val="21"/>
        </w:rPr>
        <w:t xml:space="preserve"> Para que o contratado possa prestar de forma adequada e eficaz seus serviços, o contratante lhe fornecerá todo o apoio logístico, com especial ênfase na mobilização social e nas vistorias de campo, as quais deverão ser acompanhadas por servidores e técnicos da Prefeitura Municipal, bem como disponibilizar todos os documentos necessários para o desenvolvimento do escopo do objeto, bem como eventuais estudos técnicos complementares a subsidiar a atuação do contratado.</w:t>
      </w:r>
    </w:p>
    <w:p>
      <w:pPr>
        <w:pStyle w:val="Normal"/>
        <w:spacing w:lineRule="auto" w:line="360"/>
        <w:ind w:hanging="0" w:right="27"/>
        <w:jc w:val="both"/>
        <w:rPr>
          <w:rFonts w:ascii="Arial" w:hAnsi="Arial" w:eastAsia="Arial" w:cs="Arial"/>
          <w:sz w:val="21"/>
          <w:szCs w:val="21"/>
        </w:rPr>
      </w:pPr>
      <w:r>
        <w:rPr>
          <w:rFonts w:eastAsia="Arial" w:cs="Arial" w:ascii="Arial" w:hAnsi="Arial"/>
          <w:sz w:val="21"/>
          <w:szCs w:val="21"/>
        </w:rPr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b/>
          <w:sz w:val="21"/>
          <w:szCs w:val="21"/>
          <w:highlight w:val="lightGray"/>
        </w:rPr>
        <w:t xml:space="preserve">CLÁUSULA DÉCIMA - DAS OBRIGAÇÕES DA CONTRATADA </w:t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bookmarkStart w:id="1" w:name="_heading=h.gjdgxs"/>
      <w:bookmarkEnd w:id="1"/>
      <w:r>
        <w:rPr>
          <w:rFonts w:eastAsia="Arial" w:cs="Arial" w:ascii="Arial" w:hAnsi="Arial"/>
          <w:sz w:val="21"/>
          <w:szCs w:val="21"/>
          <w:shd w:fill="auto" w:val="clear"/>
        </w:rPr>
        <w:t>10.1 O contratado fica obrigado a proceder à revisão e à elaboração dos anteprojetos de leis que compõem o cabedal de instrumentos normativos de planejamento territorial urbano sendo eles:</w:t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sz w:val="21"/>
          <w:szCs w:val="21"/>
          <w:shd w:fill="auto" w:val="clear"/>
        </w:rPr>
        <w:t xml:space="preserve">10.2 Plano Diretor Municipal; </w:t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sz w:val="21"/>
          <w:szCs w:val="21"/>
          <w:shd w:fill="auto" w:val="clear"/>
        </w:rPr>
        <w:t>10.3 Lei Municipal de Parcelamento, Uso e Ocupação do Solo Urbano;</w:t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sz w:val="21"/>
          <w:szCs w:val="21"/>
          <w:shd w:fill="auto" w:val="clear"/>
        </w:rPr>
        <w:t>10.4 Código de Obras e Edificações;</w:t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sz w:val="21"/>
          <w:szCs w:val="21"/>
          <w:shd w:fill="auto" w:val="clear"/>
        </w:rPr>
        <w:t>10.5 Código de Posturas;</w:t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sz w:val="21"/>
          <w:szCs w:val="21"/>
          <w:shd w:fill="auto" w:val="clear"/>
        </w:rPr>
        <w:t>10.6 Leis Municipais de regulamentação dos instrumentos urbanísticos que o Estatuto das Cidades faz menção à reserva legal, a saber: parcelamento, edificação ou utilização compulsórios; direito de preempção; outorga onerosa do direito de construir e alteração de uso; transferência do direito de construir; estudo do impacto de vizinhança.</w:t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sz w:val="21"/>
          <w:szCs w:val="21"/>
          <w:shd w:fill="auto" w:val="clear"/>
        </w:rPr>
        <w:t>10.7 Durante a revisão dos anteprojetos do Plano Diretor e da legislação urbanística correlata, a atuação do contratado deverá ter como diferenciais as seguintes interfaces:</w:t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sz w:val="21"/>
          <w:szCs w:val="21"/>
          <w:shd w:fill="auto" w:val="clear"/>
        </w:rPr>
        <w:t xml:space="preserve">10.8 Análise de compatibilidade dos anteprojetos de lei às normas federais, estaduais e municipais vigentes; </w:t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sz w:val="21"/>
          <w:szCs w:val="21"/>
          <w:shd w:fill="auto" w:val="clear"/>
        </w:rPr>
        <w:t>10.9 Emissão de pareceres, notas e opiniões jurídicas, quando necessários e requeridos pelo contratante;</w:t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sz w:val="21"/>
          <w:szCs w:val="21"/>
          <w:shd w:fill="auto" w:val="clear"/>
        </w:rPr>
        <w:t>10.10 Orientação jurídica quanto aos meios de garantia da participação popular no processo;</w:t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sz w:val="21"/>
          <w:szCs w:val="21"/>
          <w:shd w:fill="auto" w:val="clear"/>
        </w:rPr>
        <w:t>10.11 Participação em reuniões de trabalho e demais atividades do processo, nas modalidades virtual, híbrida e presencial, sendo esta última modalidade limitada a, no máximo, de 06 (seis) durante o prazo contratado;</w:t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sz w:val="21"/>
          <w:szCs w:val="21"/>
          <w:shd w:fill="auto" w:val="clear"/>
        </w:rPr>
        <w:t>10.12 Governança jurídica estratégica de todo o processo de revisão, com prestação de orientação jurídica à equipe técnica de apoio, a qual será responsável pela elaboração de relatórios temáticos durante as etapas previstas no Termo de Referência, sob ônus e supervisão do contratado;</w:t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sz w:val="21"/>
          <w:szCs w:val="21"/>
          <w:shd w:fill="auto" w:val="clear"/>
        </w:rPr>
        <w:t>10.13 Na prestação dos serviços, o contratado deverá analisar as restrições legais, os riscos jurídicos, as alternativas institucionais e as conveniências e desvantagens de cada alternativa apresentada, sempre visando à melhor solução para o interesse da população do Município de Araçuaí;</w:t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sz w:val="21"/>
          <w:szCs w:val="21"/>
          <w:shd w:fill="auto" w:val="clear"/>
        </w:rPr>
        <w:t>10.14 Além da equipe jurídica do contratado, os serviços referentes às atividades técnicas da revisão do Plano Diretor e das leis urbanísticas correlatas, deverão ser prestados por equipe de especialistas formada por arquitetos urbanistas, engenheiro ambiental, engenheiro civil, geólogo, geógrafo, biólogo, economista, sociólogo e especialista em turismo, sob ônus e supervisão jurídica do contratado e apoio técnico dos servidores da Prefeitura Municipal;</w:t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sz w:val="21"/>
          <w:szCs w:val="21"/>
          <w:shd w:fill="auto" w:val="clear"/>
        </w:rPr>
        <w:t>10.15 A equipe de especialistas, sob a supervisão e a governança jurídica estratégica do contratado, deverá apresentar relatórios temáticos que comporão a Etapa 2, conforme cronograma de execução contratual. Também deverá prestar apoio no que concerne aos conteúdos temáticos que irão compor as versões dos anteprojetos de lei previstos nas Etapas 3 e 4, participar de reuniões e visitas de campo quando se fizerem necessárias;</w:t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sz w:val="21"/>
          <w:szCs w:val="21"/>
          <w:shd w:fill="auto" w:val="clear"/>
        </w:rPr>
        <w:t>10.16 O contratado arcará com as despesas referentes ao deslocamento e a estadia no município da equipe de técnicos e especialistas para participação em atividades de campo, audiências públicas e reuniões presenciais, estas limitadas a, no máximo, 10 (dez) durante o prazo contratado.</w:t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sz w:val="21"/>
          <w:szCs w:val="21"/>
          <w:shd w:fill="auto" w:val="clear"/>
        </w:rPr>
        <w:t>10.17 Durante a tramitação dos Projetos de Lei junto à Câmara Municipal, a Proponente ficará à disposição da Administração Pública Municipal (Procuradoria Jurídica) para fornecer orientação consultiva na forma escrita às respostas do Poder Executivo acerca de requerimentos dos vereadores que versem a respeito de esclarecimentos, de cunho técnico-jurídico e urbanístico, sobre o processo revisional e as proposições normativas em votação.</w:t>
      </w:r>
    </w:p>
    <w:p>
      <w:pPr>
        <w:pStyle w:val="Normal"/>
        <w:spacing w:lineRule="auto" w:line="360"/>
        <w:jc w:val="both"/>
        <w:rPr>
          <w:rFonts w:ascii="Arial" w:hAnsi="Arial" w:eastAsia="Roboto" w:cs="Roboto"/>
          <w:color w:val="374151"/>
          <w:sz w:val="21"/>
          <w:szCs w:val="21"/>
          <w:highlight w:val="none"/>
          <w:shd w:fill="auto" w:val="clear"/>
        </w:rPr>
      </w:pPr>
      <w:r>
        <w:rPr>
          <w:rFonts w:eastAsia="Roboto" w:cs="Roboto" w:ascii="Arial" w:hAnsi="Arial"/>
          <w:color w:val="374151"/>
          <w:sz w:val="21"/>
          <w:szCs w:val="21"/>
          <w:shd w:fill="auto" w:val="clear"/>
        </w:rPr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b/>
          <w:color w:val="000000"/>
          <w:kern w:val="0"/>
          <w:sz w:val="21"/>
          <w:szCs w:val="21"/>
          <w:highlight w:val="lightGray"/>
          <w:shd w:fill="auto" w:val="clear"/>
          <w:lang w:val="pt-BR" w:eastAsia="pt-BR" w:bidi="ar-SA"/>
        </w:rPr>
        <w:t>CLÁUSULA DÉCIMA  PRIMEIRA - DA RESCISÃO</w:t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sz w:val="21"/>
          <w:szCs w:val="21"/>
          <w:shd w:fill="auto" w:val="clear"/>
        </w:rPr>
        <w:t>11.1 - O contrato celebrado poderá ser rescindido conforme critérios estabelecidos na Lei 14.133/21.</w:t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sz w:val="21"/>
          <w:szCs w:val="21"/>
          <w:highlight w:val="none"/>
          <w:shd w:fill="auto" w:val="clear"/>
        </w:rPr>
      </w:pPr>
      <w:r>
        <w:rPr>
          <w:rFonts w:eastAsia="Arial" w:cs="Arial" w:ascii="Arial" w:hAnsi="Arial"/>
          <w:sz w:val="21"/>
          <w:szCs w:val="21"/>
          <w:shd w:fill="auto" w:val="clear"/>
        </w:rPr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b/>
          <w:color w:val="000000"/>
          <w:kern w:val="0"/>
          <w:sz w:val="21"/>
          <w:szCs w:val="21"/>
          <w:highlight w:val="lightGray"/>
          <w:shd w:fill="auto" w:val="clear"/>
          <w:lang w:val="pt-BR" w:eastAsia="pt-BR" w:bidi="ar-SA"/>
        </w:rPr>
        <w:t>CLÁUSULA DÉCIMA SEGUNDA  - DAS SANÇÕES ADMINISTRATIVAS</w:t>
      </w:r>
      <w:r>
        <w:rPr>
          <w:rFonts w:eastAsia="Arial" w:cs="Arial" w:ascii="Arial" w:hAnsi="Arial"/>
          <w:b/>
          <w:sz w:val="21"/>
          <w:szCs w:val="21"/>
          <w:shd w:fill="auto" w:val="clear"/>
        </w:rPr>
        <w:t xml:space="preserve"> </w:t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sz w:val="21"/>
          <w:szCs w:val="21"/>
          <w:shd w:fill="auto" w:val="clear"/>
        </w:rPr>
        <w:t xml:space="preserve">11.1 - O descumprimento total ou parcial das obrigações assumidas pela </w:t>
      </w:r>
      <w:r>
        <w:rPr>
          <w:rFonts w:eastAsia="Arial" w:cs="Arial" w:ascii="Arial" w:hAnsi="Arial"/>
          <w:b/>
          <w:sz w:val="21"/>
          <w:szCs w:val="21"/>
          <w:shd w:fill="auto" w:val="clear"/>
        </w:rPr>
        <w:t>CONTRATADA</w:t>
      </w:r>
      <w:r>
        <w:rPr>
          <w:rFonts w:eastAsia="Arial" w:cs="Arial" w:ascii="Arial" w:hAnsi="Arial"/>
          <w:sz w:val="21"/>
          <w:szCs w:val="21"/>
          <w:shd w:fill="auto" w:val="clear"/>
        </w:rPr>
        <w:t xml:space="preserve"> serão aplicadas as sanções constantes na Lei 14.133/21.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</w:tabs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sz w:val="21"/>
          <w:szCs w:val="21"/>
        </w:rPr>
        <w:t xml:space="preserve"> </w:t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b/>
          <w:sz w:val="21"/>
          <w:szCs w:val="21"/>
          <w:highlight w:val="lightGray"/>
        </w:rPr>
        <w:t>CLÁUSULA DÉCIMA TERCEIRA – DA ALTERAÇÃO DO CONTRATO</w:t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bookmarkStart w:id="2" w:name="bookmark=id.1ksv4uv"/>
      <w:bookmarkEnd w:id="2"/>
      <w:r>
        <w:rPr>
          <w:rFonts w:eastAsia="Arial" w:cs="Arial" w:ascii="Arial" w:hAnsi="Arial"/>
          <w:sz w:val="21"/>
          <w:szCs w:val="21"/>
        </w:rPr>
        <w:t xml:space="preserve">13.1. Este contrato poderá ser alterado, mediante Termo Aditivo, para melhor adequação ao atendimento da finalidade de interesse público a que se destina e para os casos previstos neste instrumento. </w:t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sz w:val="21"/>
          <w:szCs w:val="21"/>
        </w:rPr>
        <w:t>13.2</w:t>
      </w:r>
      <w:r>
        <w:rPr>
          <w:rFonts w:eastAsia="Arial" w:cs="Arial" w:ascii="Arial" w:hAnsi="Arial"/>
          <w:b/>
          <w:sz w:val="21"/>
          <w:szCs w:val="21"/>
        </w:rPr>
        <w:t xml:space="preserve"> </w:t>
      </w:r>
      <w:r>
        <w:rPr>
          <w:rFonts w:eastAsia="Arial" w:cs="Arial" w:ascii="Arial" w:hAnsi="Arial"/>
          <w:sz w:val="21"/>
          <w:szCs w:val="21"/>
        </w:rPr>
        <w:t>-</w:t>
      </w:r>
      <w:r>
        <w:rPr>
          <w:rFonts w:eastAsia="Arial" w:cs="Arial" w:ascii="Arial" w:hAnsi="Arial"/>
          <w:b/>
          <w:sz w:val="21"/>
          <w:szCs w:val="21"/>
        </w:rPr>
        <w:t xml:space="preserve"> </w:t>
      </w:r>
      <w:r>
        <w:rPr>
          <w:rFonts w:eastAsia="Arial" w:cs="Arial" w:ascii="Arial" w:hAnsi="Arial"/>
          <w:sz w:val="21"/>
          <w:szCs w:val="21"/>
        </w:rPr>
        <w:t xml:space="preserve">A Contratada não poderá ceder ou transferir o contrato. </w:t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sz w:val="21"/>
          <w:szCs w:val="21"/>
        </w:rPr>
      </w:pPr>
      <w:r>
        <w:rPr>
          <w:rFonts w:eastAsia="Arial" w:cs="Arial" w:ascii="Arial" w:hAnsi="Arial"/>
          <w:sz w:val="21"/>
          <w:szCs w:val="21"/>
        </w:rPr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b/>
          <w:sz w:val="21"/>
          <w:szCs w:val="21"/>
          <w:highlight w:val="lightGray"/>
        </w:rPr>
        <w:t>CLÁUSULA DÉCIMA QUARTA – DA GESTÃO DE CONTRATO</w:t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sz w:val="21"/>
          <w:szCs w:val="21"/>
        </w:rPr>
        <w:t xml:space="preserve">14.1 - </w:t>
      </w:r>
      <w:r>
        <w:rPr>
          <w:rFonts w:eastAsia="Arial" w:cs="Arial" w:ascii="Arial" w:hAnsi="Arial"/>
          <w:color w:val="000000"/>
          <w:sz w:val="21"/>
          <w:szCs w:val="21"/>
        </w:rPr>
        <w:t>A gestão do contrato será desenvolvida pelo Secretário Municipal responsável pela demanda de contratação e/ou adstrito a unidade gestora do contrato, admitida a delegação conforme estabelecer ato próprio e específico, para exercício das funções estabelecidas.</w:t>
      </w:r>
    </w:p>
    <w:p>
      <w:pPr>
        <w:pStyle w:val="Normal"/>
        <w:tabs>
          <w:tab w:val="clear" w:pos="720"/>
          <w:tab w:val="left" w:pos="1425" w:leader="none"/>
        </w:tabs>
        <w:spacing w:lineRule="auto" w:line="360"/>
        <w:jc w:val="both"/>
        <w:rPr>
          <w:rFonts w:ascii="Arial" w:hAnsi="Arial" w:eastAsia="Arial" w:cs="Arial"/>
          <w:color w:val="000000"/>
          <w:sz w:val="21"/>
          <w:szCs w:val="21"/>
        </w:rPr>
      </w:pPr>
      <w:r>
        <w:rPr>
          <w:rFonts w:eastAsia="Arial" w:cs="Arial" w:ascii="Arial" w:hAnsi="Arial"/>
          <w:color w:val="000000"/>
          <w:sz w:val="21"/>
          <w:szCs w:val="21"/>
        </w:rPr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b/>
          <w:sz w:val="21"/>
          <w:szCs w:val="21"/>
          <w:highlight w:val="lightGray"/>
        </w:rPr>
        <w:t>CLÁUSULA DÉCIMA QUINTA – DA EXTINÇÃO DO CONTRATO</w:t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sz w:val="21"/>
          <w:szCs w:val="21"/>
        </w:rPr>
        <w:t xml:space="preserve">15.1. </w:t>
      </w:r>
      <w:r>
        <w:rPr>
          <w:rFonts w:eastAsia="Arial" w:cs="Arial" w:ascii="Arial" w:hAnsi="Arial"/>
          <w:color w:val="000000"/>
          <w:sz w:val="21"/>
          <w:szCs w:val="21"/>
        </w:rPr>
        <w:t>A Administração poderá optar pela extinção do contrato nos casos previstos na Lei Federal 14.133/2021.</w:t>
      </w:r>
    </w:p>
    <w:p>
      <w:pPr>
        <w:pStyle w:val="Normal"/>
        <w:tabs>
          <w:tab w:val="clear" w:pos="720"/>
          <w:tab w:val="left" w:pos="1425" w:leader="none"/>
        </w:tabs>
        <w:spacing w:lineRule="auto" w:line="360"/>
        <w:jc w:val="both"/>
        <w:rPr>
          <w:rFonts w:ascii="Arial" w:hAnsi="Arial" w:eastAsia="Arial" w:cs="Arial"/>
          <w:b/>
          <w:sz w:val="21"/>
          <w:szCs w:val="21"/>
        </w:rPr>
      </w:pPr>
      <w:r>
        <w:rPr>
          <w:rFonts w:eastAsia="Arial" w:cs="Arial" w:ascii="Arial" w:hAnsi="Arial"/>
          <w:b/>
          <w:sz w:val="21"/>
          <w:szCs w:val="21"/>
        </w:rPr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b/>
          <w:sz w:val="21"/>
          <w:szCs w:val="21"/>
          <w:highlight w:val="lightGray"/>
        </w:rPr>
        <w:t>CLÁUSULA DÉCIMA SEXTA - DO FORO</w:t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sz w:val="21"/>
          <w:szCs w:val="21"/>
        </w:rPr>
        <w:t>16.1 - As questões decorrentes da execução deste Instrumento, que não possam ser dirimidas administrativamente, serão processadas e julgadas no Foro da Comarca de Araçuaí/Minas Gerais, com exclusão de qualquer outro por mais privilegiado que seja.</w:t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sz w:val="21"/>
          <w:szCs w:val="21"/>
        </w:rPr>
      </w:pPr>
      <w:r>
        <w:rPr>
          <w:rFonts w:eastAsia="Arial" w:cs="Arial" w:ascii="Arial" w:hAnsi="Arial"/>
          <w:sz w:val="21"/>
          <w:szCs w:val="21"/>
        </w:rPr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sz w:val="21"/>
          <w:szCs w:val="21"/>
        </w:rPr>
        <w:t xml:space="preserve">E, para firmeza e validade do que foi pactuado, lavrou-se o presente Contrato, para que surtam um só efeito, às quais, depois de lidas, são assinadas pelas representantes das partes, </w:t>
      </w:r>
      <w:r>
        <w:rPr>
          <w:rFonts w:eastAsia="Arial" w:cs="Arial" w:ascii="Arial" w:hAnsi="Arial"/>
          <w:b/>
          <w:sz w:val="21"/>
          <w:szCs w:val="21"/>
        </w:rPr>
        <w:t>CONTRATANTE</w:t>
      </w:r>
      <w:r>
        <w:rPr>
          <w:rFonts w:eastAsia="Arial" w:cs="Arial" w:ascii="Arial" w:hAnsi="Arial"/>
          <w:sz w:val="21"/>
          <w:szCs w:val="21"/>
        </w:rPr>
        <w:t xml:space="preserve"> e </w:t>
      </w:r>
      <w:r>
        <w:rPr>
          <w:rFonts w:eastAsia="Arial" w:cs="Arial" w:ascii="Arial" w:hAnsi="Arial"/>
          <w:b/>
          <w:sz w:val="21"/>
          <w:szCs w:val="21"/>
        </w:rPr>
        <w:t>CONTRATADA</w:t>
      </w:r>
      <w:r>
        <w:rPr>
          <w:rFonts w:eastAsia="Arial" w:cs="Arial" w:ascii="Arial" w:hAnsi="Arial"/>
          <w:sz w:val="21"/>
          <w:szCs w:val="21"/>
        </w:rPr>
        <w:t>, e pelas testemunhas abaixo.</w:t>
      </w:r>
    </w:p>
    <w:p>
      <w:pPr>
        <w:pStyle w:val="Normal"/>
        <w:spacing w:lineRule="auto" w:line="360"/>
        <w:jc w:val="both"/>
        <w:rPr>
          <w:rFonts w:ascii="Arial" w:hAnsi="Arial" w:eastAsia="Arial" w:cs="Arial"/>
          <w:sz w:val="21"/>
          <w:szCs w:val="21"/>
        </w:rPr>
      </w:pPr>
      <w:r>
        <w:rPr>
          <w:rFonts w:eastAsia="Arial" w:cs="Arial" w:ascii="Arial" w:hAnsi="Arial"/>
          <w:sz w:val="21"/>
          <w:szCs w:val="21"/>
        </w:rPr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b/>
          <w:sz w:val="21"/>
          <w:szCs w:val="21"/>
        </w:rPr>
        <w:t>Araçuai 10 de julho de 2024.</w:t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/>
      </w:r>
    </w:p>
    <w:p>
      <w:pPr>
        <w:pStyle w:val="Normal"/>
        <w:spacing w:lineRule="auto" w:line="360"/>
        <w:jc w:val="both"/>
        <w:rPr>
          <w:rFonts w:ascii="Arial" w:hAnsi="Arial"/>
          <w:sz w:val="21"/>
          <w:szCs w:val="21"/>
        </w:rPr>
      </w:pPr>
      <w:r>
        <w:rPr/>
      </w:r>
    </w:p>
    <w:p>
      <w:pPr>
        <w:pStyle w:val="Normal"/>
        <w:spacing w:lineRule="auto" w:line="360"/>
        <w:jc w:val="center"/>
        <w:rPr/>
      </w:pPr>
      <w:r>
        <w:rPr/>
        <w:t>________________________________________</w:t>
      </w:r>
    </w:p>
    <w:p>
      <w:pPr>
        <w:pStyle w:val="Normal"/>
        <w:spacing w:lineRule="auto" w:line="360"/>
        <w:jc w:val="center"/>
        <w:rPr>
          <w:highlight w:val="none"/>
          <w:shd w:fill="auto" w:val="clear"/>
        </w:rPr>
      </w:pPr>
      <w:r>
        <w:rPr>
          <w:rFonts w:cs="Arial" w:ascii="Arial" w:hAnsi="Arial"/>
          <w:b/>
          <w:sz w:val="22"/>
          <w:szCs w:val="22"/>
          <w:shd w:fill="auto" w:val="clear"/>
        </w:rPr>
        <w:t>Everaldo Souza Silva</w:t>
      </w:r>
    </w:p>
    <w:p>
      <w:pPr>
        <w:pStyle w:val="Normal"/>
        <w:spacing w:lineRule="auto" w:line="360"/>
        <w:jc w:val="center"/>
        <w:rPr>
          <w:highlight w:val="none"/>
          <w:shd w:fill="auto" w:val="clear"/>
        </w:rPr>
      </w:pPr>
      <w:r>
        <w:rPr>
          <w:rFonts w:cs="Arial"/>
          <w:sz w:val="22"/>
          <w:szCs w:val="22"/>
          <w:shd w:fill="auto" w:val="clear"/>
        </w:rPr>
        <w:t>Secretário Municipal de Desenvolvimento Urbano(interino)</w:t>
      </w:r>
    </w:p>
    <w:p>
      <w:pPr>
        <w:pStyle w:val="Normal"/>
        <w:spacing w:lineRule="auto" w:line="360"/>
        <w:jc w:val="center"/>
        <w:rPr>
          <w:highlight w:val="none"/>
          <w:shd w:fill="auto" w:val="clear"/>
        </w:rPr>
      </w:pPr>
      <w:r>
        <w:rPr>
          <w:shd w:fill="auto" w:val="clear"/>
        </w:rPr>
      </w:r>
    </w:p>
    <w:p>
      <w:pPr>
        <w:pStyle w:val="Normal"/>
        <w:spacing w:lineRule="auto" w:line="360"/>
        <w:jc w:val="center"/>
        <w:rPr>
          <w:highlight w:val="none"/>
          <w:shd w:fill="auto" w:val="clear"/>
        </w:rPr>
      </w:pPr>
      <w:r>
        <w:rPr>
          <w:shd w:fill="auto" w:val="clear"/>
        </w:rPr>
        <w:t>____________________________________________</w:t>
      </w:r>
    </w:p>
    <w:p>
      <w:pPr>
        <w:pStyle w:val="Normal"/>
        <w:spacing w:lineRule="auto" w:line="360"/>
        <w:jc w:val="center"/>
        <w:rPr>
          <w:highlight w:val="none"/>
          <w:shd w:fill="auto" w:val="clear"/>
        </w:rPr>
      </w:pPr>
      <w:r>
        <w:rPr>
          <w:rFonts w:cs="Arial" w:ascii="Arial" w:hAnsi="Arial"/>
          <w:b/>
          <w:sz w:val="22"/>
          <w:szCs w:val="22"/>
          <w:shd w:fill="auto" w:val="clear"/>
        </w:rPr>
        <w:t>Evangelina Sena Fulgêncio Jardim</w:t>
      </w:r>
    </w:p>
    <w:p>
      <w:pPr>
        <w:pStyle w:val="Normal"/>
        <w:spacing w:lineRule="auto" w:line="360"/>
        <w:jc w:val="center"/>
        <w:rPr>
          <w:highlight w:val="none"/>
          <w:shd w:fill="auto" w:val="clear"/>
        </w:rPr>
      </w:pPr>
      <w:r>
        <w:rPr>
          <w:rFonts w:cs="Arial" w:ascii="Arial" w:hAnsi="Arial"/>
          <w:sz w:val="22"/>
          <w:szCs w:val="22"/>
          <w:shd w:fill="auto" w:val="clear"/>
        </w:rPr>
        <w:t>Secretária Municipal de Desenvolvimento Social(Interina)</w:t>
      </w:r>
    </w:p>
    <w:p>
      <w:pPr>
        <w:pStyle w:val="Normal"/>
        <w:spacing w:lineRule="auto" w:line="360"/>
        <w:jc w:val="center"/>
        <w:rPr>
          <w:highlight w:val="none"/>
          <w:shd w:fill="auto" w:val="clear"/>
        </w:rPr>
      </w:pPr>
      <w:r>
        <w:rPr>
          <w:shd w:fill="auto" w:val="clear"/>
        </w:rPr>
      </w:r>
    </w:p>
    <w:p>
      <w:pPr>
        <w:pStyle w:val="Normal"/>
        <w:spacing w:lineRule="auto" w:line="360"/>
        <w:jc w:val="center"/>
        <w:rPr>
          <w:rFonts w:ascii="Arial" w:hAnsi="Arial" w:cs="Arial"/>
          <w:sz w:val="22"/>
          <w:szCs w:val="22"/>
          <w:highlight w:val="none"/>
          <w:shd w:fill="auto" w:val="clear"/>
        </w:rPr>
      </w:pPr>
      <w:r>
        <w:rPr>
          <w:rFonts w:cs="Arial" w:ascii="Arial" w:hAnsi="Arial"/>
          <w:sz w:val="22"/>
          <w:szCs w:val="22"/>
          <w:shd w:fill="auto" w:val="clear"/>
        </w:rPr>
      </w:r>
    </w:p>
    <w:p>
      <w:pPr>
        <w:pStyle w:val="Normal"/>
        <w:spacing w:lineRule="auto" w:line="360"/>
        <w:jc w:val="center"/>
        <w:rPr>
          <w:highlight w:val="none"/>
          <w:shd w:fill="auto" w:val="clear"/>
        </w:rPr>
      </w:pPr>
      <w:r>
        <w:rPr>
          <w:rFonts w:cs="Arial" w:ascii="Arial" w:hAnsi="Arial"/>
          <w:sz w:val="22"/>
          <w:szCs w:val="22"/>
          <w:shd w:fill="auto" w:val="clear"/>
        </w:rPr>
        <w:t>_________________</w:t>
      </w:r>
      <w:r>
        <w:rPr>
          <w:rFonts w:cs="Arial" w:ascii="Arial" w:hAnsi="Arial"/>
          <w:sz w:val="22"/>
          <w:szCs w:val="22"/>
          <w:shd w:fill="auto" w:val="clear"/>
        </w:rPr>
        <w:t>______</w:t>
      </w:r>
      <w:r>
        <w:rPr>
          <w:rFonts w:cs="Arial" w:ascii="Arial" w:hAnsi="Arial"/>
          <w:sz w:val="22"/>
          <w:szCs w:val="22"/>
          <w:shd w:fill="auto" w:val="clear"/>
        </w:rPr>
        <w:t>________________</w:t>
      </w:r>
    </w:p>
    <w:p>
      <w:pPr>
        <w:pStyle w:val="Normal"/>
        <w:spacing w:lineRule="auto" w:line="360"/>
        <w:jc w:val="center"/>
        <w:rPr>
          <w:highlight w:val="none"/>
          <w:shd w:fill="auto" w:val="clear"/>
        </w:rPr>
      </w:pPr>
      <w:r>
        <w:rPr>
          <w:rFonts w:eastAsia="Trebuchet MS" w:cs="Arial" w:ascii="Arial" w:hAnsi="Arial"/>
          <w:b/>
          <w:i/>
          <w:sz w:val="21"/>
          <w:szCs w:val="21"/>
          <w:shd w:fill="auto" w:val="clear"/>
        </w:rPr>
        <w:t>LIANA PORTILHO MATTOS</w:t>
      </w:r>
    </w:p>
    <w:p>
      <w:pPr>
        <w:pStyle w:val="Normal"/>
        <w:spacing w:lineRule="auto" w:line="360"/>
        <w:jc w:val="center"/>
        <w:rPr>
          <w:b w:val="false"/>
          <w:bCs w:val="false"/>
          <w:highlight w:val="none"/>
          <w:shd w:fill="auto" w:val="clear"/>
        </w:rPr>
      </w:pPr>
      <w:r>
        <w:rPr>
          <w:rFonts w:eastAsia="Trebuchet MS" w:cs="Arial" w:ascii="Arial" w:hAnsi="Arial"/>
          <w:b w:val="false"/>
          <w:bCs w:val="false"/>
          <w:i/>
          <w:sz w:val="21"/>
          <w:szCs w:val="21"/>
          <w:shd w:fill="auto" w:val="clear"/>
        </w:rPr>
        <w:t>LIANA PORTILHO SOCIEDADE DE ADVOGADOS</w:t>
      </w:r>
    </w:p>
    <w:p>
      <w:pPr>
        <w:pStyle w:val="Normal"/>
        <w:spacing w:lineRule="auto" w:line="360"/>
        <w:jc w:val="center"/>
        <w:rPr>
          <w:rFonts w:ascii="Arial" w:hAnsi="Arial" w:eastAsia="Arial" w:cs="Arial"/>
          <w:b w:val="false"/>
          <w:bCs w:val="false"/>
          <w:i w:val="false"/>
          <w:i w:val="false"/>
          <w:iCs w:val="false"/>
          <w:sz w:val="21"/>
          <w:szCs w:val="21"/>
          <w:lang w:val="pt-BR" w:eastAsia="pt-BR" w:bidi="ar-SA"/>
        </w:rPr>
      </w:pPr>
      <w:r>
        <w:rPr>
          <w:shd w:fill="auto" w:val="clear"/>
        </w:rPr>
      </w:r>
    </w:p>
    <w:p>
      <w:pPr>
        <w:pStyle w:val="Normal"/>
        <w:spacing w:lineRule="auto" w:line="360"/>
        <w:jc w:val="center"/>
        <w:rPr>
          <w:highlight w:val="none"/>
          <w:shd w:fill="FFFF00" w:val="clear"/>
        </w:rPr>
      </w:pPr>
      <w:r>
        <w:rPr>
          <w:shd w:fill="FFFF00" w:val="clear"/>
        </w:rPr>
      </w:r>
    </w:p>
    <w:p>
      <w:pPr>
        <w:pStyle w:val="Normal"/>
        <w:spacing w:lineRule="auto" w:line="360"/>
        <w:jc w:val="center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LO-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b/>
          <w:i/>
          <w:sz w:val="21"/>
          <w:szCs w:val="21"/>
          <w:lang w:val="pt-BR" w:eastAsia="pt-BR" w:bidi="ar-SA"/>
        </w:rPr>
        <w:t xml:space="preserve">TESTEMUNHAS: </w:t>
      </w:r>
    </w:p>
    <w:p>
      <w:pPr>
        <w:pStyle w:val="LO-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b/>
          <w:i/>
          <w:sz w:val="21"/>
          <w:szCs w:val="21"/>
          <w:lang w:val="pt-BR" w:eastAsia="pt-BR" w:bidi="ar-SA"/>
        </w:rPr>
        <w:t>_______________________________________</w:t>
      </w:r>
    </w:p>
    <w:p>
      <w:pPr>
        <w:pStyle w:val="LO-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b/>
          <w:i/>
          <w:sz w:val="21"/>
          <w:szCs w:val="21"/>
          <w:lang w:val="pt-BR" w:eastAsia="pt-BR" w:bidi="ar-SA"/>
        </w:rPr>
        <w:t xml:space="preserve">NOME: </w:t>
      </w:r>
    </w:p>
    <w:p>
      <w:pPr>
        <w:pStyle w:val="LO-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b/>
          <w:i/>
          <w:sz w:val="21"/>
          <w:szCs w:val="21"/>
          <w:lang w:val="pt-BR" w:eastAsia="pt-BR" w:bidi="ar-SA"/>
        </w:rPr>
        <w:t xml:space="preserve">CPF: </w:t>
      </w:r>
    </w:p>
    <w:p>
      <w:pPr>
        <w:pStyle w:val="LO-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b/>
          <w:i/>
          <w:sz w:val="21"/>
          <w:szCs w:val="21"/>
          <w:lang w:val="pt-BR" w:eastAsia="pt-BR" w:bidi="ar-SA"/>
        </w:rPr>
        <w:t>_______________________________________</w:t>
      </w:r>
    </w:p>
    <w:p>
      <w:pPr>
        <w:pStyle w:val="LO-normal"/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b/>
          <w:i/>
          <w:sz w:val="21"/>
          <w:szCs w:val="21"/>
          <w:shd w:fill="auto" w:val="clear"/>
          <w:lang w:val="pt-BR" w:eastAsia="pt-BR" w:bidi="ar-SA"/>
        </w:rPr>
        <w:t xml:space="preserve">NOME: </w:t>
      </w:r>
    </w:p>
    <w:p>
      <w:pPr>
        <w:pStyle w:val="Normal"/>
        <w:tabs>
          <w:tab w:val="clear" w:pos="720"/>
          <w:tab w:val="left" w:pos="3401" w:leader="none"/>
        </w:tabs>
        <w:spacing w:lineRule="auto" w:line="360"/>
        <w:jc w:val="both"/>
        <w:rPr>
          <w:rFonts w:ascii="Arial" w:hAnsi="Arial"/>
          <w:sz w:val="21"/>
          <w:szCs w:val="21"/>
        </w:rPr>
      </w:pPr>
      <w:r>
        <w:rPr>
          <w:rFonts w:eastAsia="Arial" w:cs="Arial" w:ascii="Arial" w:hAnsi="Arial"/>
          <w:b/>
          <w:i/>
          <w:sz w:val="21"/>
          <w:szCs w:val="21"/>
          <w:shd w:fill="auto" w:val="clear"/>
          <w:lang w:val="pt-BR" w:eastAsia="pt-BR" w:bidi="ar-SA"/>
        </w:rPr>
        <w:t xml:space="preserve">CPF:  </w:t>
      </w:r>
    </w:p>
    <w:sectPr>
      <w:headerReference w:type="default" r:id="rId2"/>
      <w:footerReference w:type="even" r:id="rId3"/>
      <w:footerReference w:type="default" r:id="rId4"/>
      <w:footerReference w:type="first" r:id="rId5"/>
      <w:type w:val="nextPage"/>
      <w:pgSz w:w="11906" w:h="16838"/>
      <w:pgMar w:left="1418" w:right="1134" w:gutter="0" w:header="680" w:top="1701" w:footer="680" w:bottom="73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center" w:pos="4419" w:leader="none"/>
        <w:tab w:val="right" w:pos="8838" w:leader="none"/>
      </w:tabs>
      <w:jc w:val="right"/>
      <w:rPr>
        <w:color w:val="000000"/>
        <w:sz w:val="28"/>
        <w:szCs w:val="28"/>
      </w:rPr>
    </w:pPr>
    <w:r>
      <w:rPr>
        <w:color w:val="000000"/>
        <w:sz w:val="28"/>
        <w:szCs w:val="28"/>
      </w:rPr>
      <w:fldChar w:fldCharType="begin"/>
    </w:r>
    <w:r>
      <w:rPr>
        <w:sz w:val="28"/>
        <w:szCs w:val="28"/>
        <w:color w:val="000000"/>
      </w:rPr>
      <w:instrText xml:space="preserve"> PAGE </w:instrText>
    </w:r>
    <w:r>
      <w:rPr>
        <w:sz w:val="28"/>
        <w:szCs w:val="28"/>
        <w:color w:val="000000"/>
      </w:rPr>
      <w:fldChar w:fldCharType="separate"/>
    </w:r>
    <w:r>
      <w:rPr>
        <w:sz w:val="28"/>
        <w:szCs w:val="28"/>
        <w:color w:val="000000"/>
      </w:rPr>
      <w:t>0</w:t>
    </w:r>
    <w:r>
      <w:rPr>
        <w:sz w:val="28"/>
        <w:szCs w:val="28"/>
        <w:color w:val="000000"/>
      </w:rPr>
      <w:fldChar w:fldCharType="end"/>
    </w:r>
  </w:p>
  <w:p>
    <w:pPr>
      <w:pStyle w:val="Normal"/>
      <w:tabs>
        <w:tab w:val="clear" w:pos="720"/>
        <w:tab w:val="center" w:pos="4419" w:leader="none"/>
        <w:tab w:val="right" w:pos="8838" w:leader="none"/>
      </w:tabs>
      <w:jc w:val="right"/>
      <w:rPr>
        <w:color w:val="000000"/>
        <w:sz w:val="28"/>
        <w:szCs w:val="28"/>
      </w:rPr>
    </w:pPr>
    <w:r>
      <w:rPr>
        <w:color w:val="000000"/>
        <w:sz w:val="28"/>
        <w:szCs w:val="28"/>
      </w:rPr>
      <w:fldChar w:fldCharType="begin"/>
    </w:r>
    <w:r>
      <w:rPr>
        <w:sz w:val="28"/>
        <w:szCs w:val="28"/>
        <w:color w:val="000000"/>
      </w:rPr>
      <w:instrText xml:space="preserve"> PAGE </w:instrText>
    </w:r>
    <w:r>
      <w:rPr>
        <w:sz w:val="28"/>
        <w:szCs w:val="28"/>
        <w:color w:val="000000"/>
      </w:rPr>
      <w:fldChar w:fldCharType="separate"/>
    </w:r>
    <w:r>
      <w:rPr>
        <w:sz w:val="28"/>
        <w:szCs w:val="28"/>
        <w:color w:val="000000"/>
      </w:rPr>
      <w:t>0</w:t>
    </w:r>
    <w:r>
      <w:rPr>
        <w:sz w:val="28"/>
        <w:szCs w:val="28"/>
        <w:color w:val="000000"/>
      </w:rPr>
      <w:fldChar w:fldCharType="end"/>
    </w:r>
  </w:p>
  <w:p>
    <w:pPr>
      <w:pStyle w:val="Normal"/>
      <w:tabs>
        <w:tab w:val="clear" w:pos="720"/>
        <w:tab w:val="center" w:pos="4419" w:leader="none"/>
        <w:tab w:val="right" w:pos="8838" w:leader="none"/>
      </w:tabs>
      <w:ind w:hanging="0" w:right="360"/>
      <w:rPr>
        <w:color w:val="000000"/>
        <w:sz w:val="28"/>
        <w:szCs w:val="28"/>
      </w:rPr>
    </w:pPr>
    <w:r>
      <w:rPr>
        <w:color w:val="000000"/>
        <w:sz w:val="28"/>
        <w:szCs w:val="28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center" w:pos="4419" w:leader="none"/>
        <w:tab w:val="right" w:pos="8838" w:leader="none"/>
      </w:tabs>
      <w:jc w:val="right"/>
      <w:rPr>
        <w:color w:val="000000"/>
        <w:sz w:val="28"/>
        <w:szCs w:val="28"/>
      </w:rPr>
    </w:pPr>
    <w:r>
      <w:rPr>
        <w:color w:val="000000"/>
        <w:sz w:val="28"/>
        <w:szCs w:val="28"/>
      </w:rPr>
      <w:fldChar w:fldCharType="begin"/>
    </w:r>
    <w:r>
      <w:rPr>
        <w:sz w:val="28"/>
        <w:szCs w:val="28"/>
        <w:color w:val="000000"/>
      </w:rPr>
      <w:instrText xml:space="preserve"> PAGE </w:instrText>
    </w:r>
    <w:r>
      <w:rPr>
        <w:sz w:val="28"/>
        <w:szCs w:val="28"/>
        <w:color w:val="000000"/>
      </w:rPr>
      <w:fldChar w:fldCharType="separate"/>
    </w:r>
    <w:r>
      <w:rPr>
        <w:sz w:val="28"/>
        <w:szCs w:val="28"/>
        <w:color w:val="000000"/>
      </w:rPr>
      <w:t>1</w:t>
    </w:r>
    <w:r>
      <w:rPr>
        <w:sz w:val="28"/>
        <w:szCs w:val="28"/>
        <w:color w:val="000000"/>
      </w:rPr>
      <w:fldChar w:fldCharType="end"/>
    </w:r>
  </w:p>
  <w:p>
    <w:pPr>
      <w:pStyle w:val="Normal"/>
      <w:tabs>
        <w:tab w:val="clear" w:pos="720"/>
        <w:tab w:val="center" w:pos="4419" w:leader="none"/>
        <w:tab w:val="right" w:pos="8838" w:leader="none"/>
      </w:tabs>
      <w:jc w:val="right"/>
      <w:rPr>
        <w:color w:val="000000"/>
        <w:sz w:val="28"/>
        <w:szCs w:val="28"/>
      </w:rPr>
    </w:pPr>
    <w:r>
      <w:rPr>
        <w:color w:val="000000"/>
        <w:sz w:val="28"/>
        <w:szCs w:val="28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center" w:pos="4419" w:leader="none"/>
        <w:tab w:val="right" w:pos="8838" w:leader="none"/>
      </w:tabs>
      <w:jc w:val="right"/>
      <w:rPr>
        <w:color w:val="000000"/>
        <w:sz w:val="28"/>
        <w:szCs w:val="28"/>
      </w:rPr>
    </w:pPr>
    <w:r>
      <w:rPr>
        <w:color w:val="000000"/>
        <w:sz w:val="28"/>
        <w:szCs w:val="28"/>
      </w:rPr>
      <w:fldChar w:fldCharType="begin"/>
    </w:r>
    <w:r>
      <w:rPr>
        <w:sz w:val="28"/>
        <w:szCs w:val="28"/>
        <w:color w:val="000000"/>
      </w:rPr>
      <w:instrText xml:space="preserve"> PAGE </w:instrText>
    </w:r>
    <w:r>
      <w:rPr>
        <w:sz w:val="28"/>
        <w:szCs w:val="28"/>
        <w:color w:val="000000"/>
      </w:rPr>
      <w:fldChar w:fldCharType="separate"/>
    </w:r>
    <w:r>
      <w:rPr>
        <w:sz w:val="28"/>
        <w:szCs w:val="28"/>
        <w:color w:val="000000"/>
      </w:rPr>
      <w:t>1</w:t>
    </w:r>
    <w:r>
      <w:rPr>
        <w:sz w:val="28"/>
        <w:szCs w:val="28"/>
        <w:color w:val="000000"/>
      </w:rPr>
      <w:fldChar w:fldCharType="end"/>
    </w:r>
  </w:p>
  <w:p>
    <w:pPr>
      <w:pStyle w:val="Normal"/>
      <w:tabs>
        <w:tab w:val="clear" w:pos="720"/>
        <w:tab w:val="center" w:pos="4419" w:leader="none"/>
        <w:tab w:val="right" w:pos="8838" w:leader="none"/>
      </w:tabs>
      <w:jc w:val="right"/>
      <w:rPr>
        <w:color w:val="000000"/>
        <w:sz w:val="28"/>
        <w:szCs w:val="28"/>
      </w:rPr>
    </w:pPr>
    <w:r>
      <w:rPr>
        <w:color w:val="000000"/>
        <w:sz w:val="28"/>
        <w:szCs w:val="28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Style w:val="Tabelacomgrade"/>
      <w:tblW w:w="9360" w:type="dxa"/>
      <w:jc w:val="left"/>
      <w:tblInd w:w="108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1096"/>
      <w:gridCol w:w="4286"/>
      <w:gridCol w:w="3978"/>
    </w:tblGrid>
    <w:tr>
      <w:trPr>
        <w:trHeight w:val="993" w:hRule="atLeast"/>
      </w:trPr>
      <w:tc>
        <w:tcPr>
          <w:tcW w:w="1096" w:type="dxa"/>
          <w:tcBorders/>
        </w:tcPr>
        <w:p>
          <w:pPr>
            <w:pStyle w:val="Header"/>
            <w:widowControl w:val="false"/>
            <w:tabs>
              <w:tab w:val="clear" w:pos="4252"/>
              <w:tab w:val="right" w:pos="8504" w:leader="none"/>
            </w:tabs>
            <w:suppressAutoHyphens w:val="true"/>
            <w:spacing w:before="0" w:after="0"/>
            <w:jc w:val="left"/>
            <w:rPr>
              <w:rFonts w:ascii="Arial" w:hAnsi="Arial" w:cs="Arial"/>
              <w:b/>
              <w:bCs/>
              <w:sz w:val="32"/>
              <w:szCs w:val="32"/>
            </w:rPr>
          </w:pPr>
          <w:r>
            <w:rPr>
              <w:rFonts w:cs="Arial" w:ascii="Arial" w:hAnsi="Arial"/>
              <w:b/>
              <w:bCs/>
              <w:sz w:val="32"/>
              <w:szCs w:val="32"/>
            </w:rPr>
            <w:drawing>
              <wp:anchor behindDoc="1" distT="0" distB="0" distL="0" distR="0" simplePos="0" locked="0" layoutInCell="1" allowOverlap="1" relativeHeight="8">
                <wp:simplePos x="0" y="0"/>
                <wp:positionH relativeFrom="column">
                  <wp:posOffset>-68580</wp:posOffset>
                </wp:positionH>
                <wp:positionV relativeFrom="paragraph">
                  <wp:posOffset>25400</wp:posOffset>
                </wp:positionV>
                <wp:extent cx="671830" cy="605155"/>
                <wp:effectExtent l="0" t="0" r="0" b="0"/>
                <wp:wrapNone/>
                <wp:docPr id="1" name="Imagem 5" descr="BRASÃO ARAÇUAÍ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5" descr="BRASÃO ARAÇUAÍ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1830" cy="6051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286" w:type="dxa"/>
          <w:tcBorders>
            <w:right w:val="single" w:sz="8" w:space="0" w:color="244061"/>
          </w:tcBorders>
          <w:vAlign w:val="center"/>
        </w:tcPr>
        <w:p>
          <w:pPr>
            <w:pStyle w:val="Header"/>
            <w:widowControl w:val="false"/>
            <w:suppressAutoHyphens w:val="true"/>
            <w:spacing w:before="0" w:after="0"/>
            <w:jc w:val="center"/>
            <w:rPr>
              <w:rFonts w:ascii="Arial" w:hAnsi="Arial" w:cs="Arial"/>
              <w:b/>
              <w:bCs/>
              <w:sz w:val="32"/>
              <w:szCs w:val="32"/>
            </w:rPr>
          </w:pPr>
          <w:r>
            <w:rPr>
              <w:rFonts w:cs="Arial" w:ascii="Arial" w:hAnsi="Arial"/>
              <w:b/>
              <w:bCs/>
              <w:sz w:val="32"/>
              <w:szCs w:val="32"/>
            </w:rPr>
            <w:drawing>
              <wp:anchor behindDoc="1" distT="0" distB="0" distL="0" distR="0" simplePos="0" locked="0" layoutInCell="1" allowOverlap="1" relativeHeight="15">
                <wp:simplePos x="0" y="0"/>
                <wp:positionH relativeFrom="column">
                  <wp:posOffset>-27940</wp:posOffset>
                </wp:positionH>
                <wp:positionV relativeFrom="paragraph">
                  <wp:posOffset>33020</wp:posOffset>
                </wp:positionV>
                <wp:extent cx="2299970" cy="609600"/>
                <wp:effectExtent l="0" t="0" r="0" b="0"/>
                <wp:wrapNone/>
                <wp:docPr id="2" name="Imagem 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31860" t="33169" r="16092" b="4225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9970" cy="60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78" w:type="dxa"/>
          <w:tcBorders>
            <w:left w:val="single" w:sz="8" w:space="0" w:color="244061"/>
          </w:tcBorders>
          <w:vAlign w:val="center"/>
        </w:tcPr>
        <w:p>
          <w:pPr>
            <w:pStyle w:val="Footer"/>
            <w:widowControl w:val="false"/>
            <w:suppressAutoHyphens w:val="true"/>
            <w:spacing w:before="0" w:after="0"/>
            <w:jc w:val="left"/>
            <w:rPr>
              <w:rFonts w:ascii="Arial" w:hAnsi="Arial" w:cs="Arial"/>
              <w:bCs/>
              <w:color w:themeColor="text1" w:val="000000"/>
              <w:sz w:val="16"/>
              <w:szCs w:val="18"/>
            </w:rPr>
          </w:pPr>
          <w:r>
            <w:rPr>
              <w:rFonts w:cs="Arial" w:ascii="Arial" w:hAnsi="Arial"/>
              <w:bCs/>
              <w:color w:themeColor="text1" w:val="000000"/>
              <w:kern w:val="0"/>
              <w:sz w:val="16"/>
              <w:szCs w:val="18"/>
              <w:lang w:val="pt-BR" w:eastAsia="en-US" w:bidi="ar-SA"/>
            </w:rPr>
            <w:t>CNPJ: 17.963.083/0001-17</w:t>
          </w:r>
        </w:p>
        <w:p>
          <w:pPr>
            <w:pStyle w:val="Footer"/>
            <w:widowControl w:val="false"/>
            <w:suppressAutoHyphens w:val="true"/>
            <w:spacing w:before="0" w:after="0"/>
            <w:jc w:val="left"/>
            <w:rPr>
              <w:rFonts w:ascii="Arial" w:hAnsi="Arial" w:cs="Arial"/>
              <w:bCs/>
              <w:color w:themeColor="text1" w:val="000000"/>
              <w:sz w:val="16"/>
              <w:szCs w:val="18"/>
            </w:rPr>
          </w:pPr>
          <w:r>
            <w:rPr>
              <w:rFonts w:cs="Arial" w:ascii="Arial" w:hAnsi="Arial"/>
              <w:bCs/>
              <w:color w:themeColor="text1" w:val="000000"/>
              <w:kern w:val="0"/>
              <w:sz w:val="16"/>
              <w:szCs w:val="18"/>
              <w:lang w:val="pt-BR" w:eastAsia="en-US" w:bidi="ar-SA"/>
            </w:rPr>
            <w:t>Praça Rui Barbosa, 26 - Centro - Araçuaí | MG</w:t>
          </w:r>
        </w:p>
        <w:p>
          <w:pPr>
            <w:pStyle w:val="Footer"/>
            <w:widowControl w:val="false"/>
            <w:suppressAutoHyphens w:val="true"/>
            <w:spacing w:before="0" w:after="0"/>
            <w:jc w:val="left"/>
            <w:rPr>
              <w:rFonts w:ascii="Arial" w:hAnsi="Arial" w:cs="Arial"/>
              <w:bCs/>
              <w:color w:themeColor="text1" w:val="000000"/>
              <w:sz w:val="16"/>
              <w:szCs w:val="18"/>
            </w:rPr>
          </w:pPr>
          <w:r>
            <w:rPr>
              <w:rFonts w:cs="Arial" w:ascii="Arial" w:hAnsi="Arial"/>
              <w:bCs/>
              <w:color w:themeColor="text1" w:val="000000"/>
              <w:kern w:val="0"/>
              <w:sz w:val="16"/>
              <w:szCs w:val="18"/>
              <w:lang w:val="pt-BR" w:eastAsia="en-US" w:bidi="ar-SA"/>
            </w:rPr>
            <w:t>CEP 39600-000</w:t>
          </w:r>
        </w:p>
        <w:p>
          <w:pPr>
            <w:pStyle w:val="Footer"/>
            <w:widowControl w:val="false"/>
            <w:suppressAutoHyphens w:val="true"/>
            <w:spacing w:before="0" w:after="0"/>
            <w:jc w:val="left"/>
            <w:rPr>
              <w:rFonts w:ascii="Arial" w:hAnsi="Arial" w:cs="Arial"/>
              <w:bCs/>
              <w:color w:themeColor="background1" w:themeShade="80" w:val="808080"/>
              <w:sz w:val="18"/>
              <w:szCs w:val="20"/>
            </w:rPr>
          </w:pPr>
          <w:r>
            <w:rPr>
              <w:rFonts w:cs="Arial" w:ascii="Arial" w:hAnsi="Arial"/>
              <w:bCs/>
              <w:color w:themeColor="text1" w:val="000000"/>
              <w:kern w:val="0"/>
              <w:sz w:val="16"/>
              <w:szCs w:val="18"/>
              <w:lang w:val="pt-BR" w:eastAsia="en-US" w:bidi="ar-SA"/>
            </w:rPr>
            <w:t>(33) 3731-1570 - aracuai.mg.gov.br</w:t>
          </w:r>
        </w:p>
      </w:tc>
    </w:tr>
    <w:tr>
      <w:trPr>
        <w:trHeight w:val="80" w:hRule="atLeast"/>
      </w:trPr>
      <w:tc>
        <w:tcPr>
          <w:tcW w:w="1096" w:type="dxa"/>
          <w:tcBorders>
            <w:bottom w:val="single" w:sz="12" w:space="0" w:color="244061"/>
          </w:tcBorders>
        </w:tcPr>
        <w:p>
          <w:pPr>
            <w:pStyle w:val="Header"/>
            <w:widowControl w:val="false"/>
            <w:tabs>
              <w:tab w:val="clear" w:pos="4252"/>
              <w:tab w:val="right" w:pos="8504" w:leader="none"/>
            </w:tabs>
            <w:suppressAutoHyphens w:val="true"/>
            <w:spacing w:before="0" w:after="0"/>
            <w:jc w:val="left"/>
            <w:rPr>
              <w:rFonts w:ascii="Arial" w:hAnsi="Arial" w:cs="Arial"/>
              <w:b/>
              <w:bCs/>
              <w:sz w:val="2"/>
              <w:szCs w:val="2"/>
              <w:lang w:eastAsia="pt-BR"/>
            </w:rPr>
          </w:pPr>
          <w:r>
            <w:rPr>
              <w:rFonts w:cs="Arial" w:ascii="Arial" w:hAnsi="Arial"/>
              <w:b/>
              <w:bCs/>
              <w:sz w:val="2"/>
              <w:szCs w:val="2"/>
              <w:lang w:eastAsia="pt-BR"/>
            </w:rPr>
          </w:r>
        </w:p>
      </w:tc>
      <w:tc>
        <w:tcPr>
          <w:tcW w:w="4286" w:type="dxa"/>
          <w:tcBorders>
            <w:bottom w:val="single" w:sz="12" w:space="0" w:color="244061"/>
          </w:tcBorders>
          <w:vAlign w:val="center"/>
        </w:tcPr>
        <w:p>
          <w:pPr>
            <w:pStyle w:val="Header"/>
            <w:widowControl w:val="false"/>
            <w:suppressAutoHyphens w:val="true"/>
            <w:spacing w:before="0" w:after="0"/>
            <w:jc w:val="center"/>
            <w:rPr>
              <w:rFonts w:ascii="Arial" w:hAnsi="Arial" w:cs="Arial"/>
              <w:b/>
              <w:bCs/>
              <w:sz w:val="2"/>
              <w:szCs w:val="2"/>
              <w:lang w:eastAsia="pt-BR"/>
            </w:rPr>
          </w:pPr>
          <w:r>
            <w:rPr>
              <w:rFonts w:cs="Arial" w:ascii="Arial" w:hAnsi="Arial"/>
              <w:b/>
              <w:bCs/>
              <w:sz w:val="2"/>
              <w:szCs w:val="2"/>
              <w:lang w:eastAsia="pt-BR"/>
            </w:rPr>
          </w:r>
        </w:p>
      </w:tc>
      <w:tc>
        <w:tcPr>
          <w:tcW w:w="3978" w:type="dxa"/>
          <w:tcBorders>
            <w:bottom w:val="single" w:sz="12" w:space="0" w:color="244061"/>
          </w:tcBorders>
          <w:vAlign w:val="center"/>
        </w:tcPr>
        <w:p>
          <w:pPr>
            <w:pStyle w:val="Footer"/>
            <w:widowControl w:val="false"/>
            <w:suppressAutoHyphens w:val="true"/>
            <w:spacing w:before="0" w:after="0"/>
            <w:jc w:val="left"/>
            <w:rPr>
              <w:rFonts w:ascii="Arial" w:hAnsi="Arial" w:cs="Arial"/>
              <w:bCs/>
              <w:color w:themeColor="text1" w:val="000000"/>
              <w:sz w:val="2"/>
              <w:szCs w:val="2"/>
            </w:rPr>
          </w:pPr>
          <w:r>
            <w:rPr>
              <w:rFonts w:cs="Arial" w:ascii="Arial" w:hAnsi="Arial"/>
              <w:bCs/>
              <w:color w:themeColor="text1" w:val="000000"/>
              <w:sz w:val="2"/>
              <w:szCs w:val="2"/>
            </w:rPr>
          </w:r>
        </w:p>
      </w:tc>
    </w:tr>
  </w:tbl>
  <w:p>
    <w:pPr>
      <w:pStyle w:val="Normal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hyphenationZone w:val="425"/>
  <w:compat>
    <w:doNotExpandShiftReturn/>
    <w:compatSetting w:name="compatibilityMode" w:uri="http://schemas.microsoft.com/office/word" w:val="12"/>
  </w:compat>
  <w:themeFontLang w:val="pt-BR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SimSun" w:cs="Times New Roman"/>
        <w:lang w:val="pt-BR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0">
    <w:lsdException w:name="Normal" w:uiPriority="0" w:semiHidden="0" w:unhideWhenUsed="0"/>
    <w:lsdException w:name="heading 1" w:uiPriority="0" w:semiHidden="0" w:unhideWhenUsed="0"/>
    <w:lsdException w:name="heading 2" w:uiPriority="0" w:semiHidden="0" w:unhideWhenUsed="0" w:qFormat="1"/>
    <w:lsdException w:name="heading 3" w:uiPriority="0" w:semiHidden="0" w:unhideWhenUsed="0" w:qFormat="1"/>
    <w:lsdException w:name="heading 4" w:uiPriority="0" w:semiHidden="0" w:unhideWhenUsed="0" w:qFormat="1"/>
    <w:lsdException w:name="heading 5" w:uiPriority="0" w:semiHidden="0" w:unhideWhenUsed="0" w:qFormat="1"/>
    <w:lsdException w:name="heading 6" w:uiPriority="0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99"/>
    <w:lsdException w:name="footnote text" w:uiPriority="99"/>
    <w:lsdException w:name="annotation text" w:uiPriority="99" w:qFormat="1"/>
    <w:lsdException w:name="header" w:uiPriority="99" w:qFormat="1"/>
    <w:lsdException w:name="footer" w:uiPriority="99" w:qFormat="1"/>
    <w:lsdException w:name="index heading" w:uiPriority="99"/>
    <w:lsdException w:name="caption" w:uiPriority="35" w:qFormat="1"/>
    <w:lsdException w:name="table of figures" w:uiPriority="99"/>
    <w:lsdException w:name="envelope address" w:uiPriority="99"/>
    <w:lsdException w:name="envelope return" w:uiPriority="99"/>
    <w:lsdException w:name="footnote reference" w:uiPriority="99"/>
    <w:lsdException w:name="annotation reference" w:uiPriority="99" w:qFormat="1"/>
    <w:lsdException w:name="line number" w:uiPriority="99"/>
    <w:lsdException w:name="page number" w:uiPriority="99"/>
    <w:lsdException w:name="endnote reference" w:uiPriority="99"/>
    <w:lsdException w:name="endnote text" w:uiPriority="99"/>
    <w:lsdException w:name="table of authorities" w:uiPriority="99"/>
    <w:lsdException w:name="macro" w:uiPriority="99"/>
    <w:lsdException w:name="toa heading" w:uiPriority="99"/>
    <w:lsdException w:name="List" w:uiPriority="99"/>
    <w:lsdException w:name="List Bullet" w:uiPriority="99"/>
    <w:lsdException w:name="List Number" w:uiPriority="99"/>
    <w:lsdException w:name="List 2" w:uiPriority="99"/>
    <w:lsdException w:name="List 3" w:uiPriority="99"/>
    <w:lsdException w:name="List 4" w:uiPriority="99"/>
    <w:lsdException w:name="List 5" w:uiPriority="99"/>
    <w:lsdException w:name="List Bullet 2" w:uiPriority="99"/>
    <w:lsdException w:name="List Bullet 3" w:uiPriority="99"/>
    <w:lsdException w:name="List Bullet 4" w:uiPriority="99"/>
    <w:lsdException w:name="List Bullet 5" w:uiPriority="99"/>
    <w:lsdException w:name="List Number 2" w:uiPriority="99"/>
    <w:lsdException w:name="List Number 3" w:uiPriority="99"/>
    <w:lsdException w:name="List Number 4" w:uiPriority="99"/>
    <w:lsdException w:name="List Number 5" w:uiPriority="99"/>
    <w:lsdException w:name="Title" w:uiPriority="0" w:semiHidden="0" w:unhideWhenUsed="0" w:qFormat="1"/>
    <w:lsdException w:name="Closing" w:uiPriority="99"/>
    <w:lsdException w:name="Signature" w:uiPriority="99"/>
    <w:lsdException w:name="Default Paragraph Font" w:uiPriority="1" w:qFormat="1"/>
    <w:lsdException w:name="Body Text" w:uiPriority="99"/>
    <w:lsdException w:name="Body Text Indent" w:uiPriority="99"/>
    <w:lsdException w:name="List Continue" w:uiPriority="99"/>
    <w:lsdException w:name="List Continue 2" w:uiPriority="99"/>
    <w:lsdException w:name="List Continue 3" w:uiPriority="99"/>
    <w:lsdException w:name="List Continue 4" w:uiPriority="99"/>
    <w:lsdException w:name="List Continue 5" w:uiPriority="99"/>
    <w:lsdException w:name="Message Header" w:uiPriority="99"/>
    <w:lsdException w:name="Subtitle" w:uiPriority="0" w:semiHidden="0" w:unhideWhenUsed="0" w:qFormat="1"/>
    <w:lsdException w:name="Salutation" w:uiPriority="99"/>
    <w:lsdException w:name="Date" w:uiPriority="99"/>
    <w:lsdException w:name="Body Text First Indent" w:uiPriority="99"/>
    <w:lsdException w:name="Body Text First Indent 2" w:uiPriority="99"/>
    <w:lsdException w:name="Note Heading" w:uiPriority="99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Block Text" w:uiPriority="99"/>
    <w:lsdException w:name="Hyperlink" w:uiPriority="99"/>
    <w:lsdException w:name="FollowedHyperlink" w:uiPriority="99"/>
    <w:lsdException w:name="Strong" w:uiPriority="22" w:semiHidden="0" w:unhideWhenUsed="0" w:qFormat="1"/>
    <w:lsdException w:name="Emphasis" w:uiPriority="20" w:semiHidden="0" w:unhideWhenUsed="0" w:qFormat="1"/>
    <w:lsdException w:name="Document Map" w:uiPriority="99"/>
    <w:lsdException w:name="Plain Text" w:uiPriority="99"/>
    <w:lsdException w:name="E-mail Signature" w:uiPriority="99"/>
    <w:lsdException w:name="Normal (Web)" w:uiPriority="99"/>
    <w:lsdException w:name="HTML Acronym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rmal Table" w:uiPriority="99" w:qFormat="1"/>
    <w:lsdException w:name="annotation subject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59" w:semiHidden="0" w:unhideWhenUsed="0" w:qFormat="1"/>
    <w:lsdException w:name="Table Theme" w:uiPriority="99"/>
  </w:latentStyles>
  <w:style w:type="paragraph" w:styleId="Normal" w:default="1">
    <w:name w:val="Normal"/>
    <w:uiPriority w:val="0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t-BR" w:eastAsia="pt-BR" w:bidi="ar-SA"/>
    </w:rPr>
  </w:style>
  <w:style w:type="paragraph" w:styleId="Heading1">
    <w:name w:val="Heading 1"/>
    <w:basedOn w:val="Normal"/>
    <w:next w:val="Normal"/>
    <w:uiPriority w:val="0"/>
    <w:qFormat/>
    <w:pPr>
      <w:keepNext w:val="true"/>
      <w:spacing w:before="240" w:after="60"/>
      <w:outlineLvl w:val="0"/>
    </w:pPr>
    <w:rPr>
      <w:rFonts w:ascii="Arial" w:hAnsi="Arial" w:eastAsia="Arial" w:cs="Arial"/>
      <w:b/>
      <w:sz w:val="32"/>
      <w:szCs w:val="32"/>
    </w:rPr>
  </w:style>
  <w:style w:type="paragraph" w:styleId="Heading2">
    <w:name w:val="Heading 2"/>
    <w:basedOn w:val="Normal"/>
    <w:next w:val="Normal"/>
    <w:autoRedefine/>
    <w:uiPriority w:val="0"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autoRedefine/>
    <w:uiPriority w:val="0"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0"/>
    <w:qFormat/>
    <w:pPr>
      <w:keepNext w:val="true"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0"/>
    <w:qFormat/>
    <w:pPr>
      <w:keepNext w:val="true"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autoRedefine/>
    <w:uiPriority w:val="0"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Annotation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semiHidden/>
    <w:qFormat/>
    <w:rPr>
      <w:sz w:val="20"/>
      <w:szCs w:val="20"/>
    </w:rPr>
  </w:style>
  <w:style w:type="character" w:styleId="TextodebaloChar" w:customStyle="1">
    <w:name w:val="Texto de balão Char"/>
    <w:basedOn w:val="DefaultParagraphFont"/>
    <w:uiPriority w:val="99"/>
    <w:semiHidden/>
    <w:qFormat/>
    <w:rPr>
      <w:rFonts w:ascii="Tahoma" w:hAnsi="Tahoma" w:cs="Tahoma"/>
      <w:sz w:val="16"/>
      <w:szCs w:val="16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Annotationtext">
    <w:name w:val="annotation text"/>
    <w:basedOn w:val="Normal"/>
    <w:uiPriority w:val="99"/>
    <w:semiHidden/>
    <w:unhideWhenUsed/>
    <w:qFormat/>
    <w:pPr/>
    <w:rPr>
      <w:sz w:val="20"/>
      <w:szCs w:val="20"/>
    </w:rPr>
  </w:style>
  <w:style w:type="paragraph" w:styleId="Title">
    <w:name w:val="Title"/>
    <w:basedOn w:val="Normal"/>
    <w:next w:val="Normal"/>
    <w:uiPriority w:val="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Normal"/>
    <w:uiPriority w:val="99"/>
    <w:semiHidden/>
    <w:unhideWhenUsed/>
    <w:qFormat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Footer">
    <w:name w:val="Footer"/>
    <w:basedOn w:val="Normal"/>
    <w:uiPriority w:val="99"/>
    <w:semiHidden/>
    <w:unhideWhenUsed/>
    <w:qFormat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BalloonText">
    <w:name w:val="Balloon Text"/>
    <w:basedOn w:val="Normal"/>
    <w:uiPriority w:val="99"/>
    <w:semiHidden/>
    <w:unhideWhenUsed/>
    <w:qFormat/>
    <w:pPr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0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Contedodoquadro">
    <w:name w:val="Conteúdo do quadro"/>
    <w:basedOn w:val="Normal"/>
    <w:qFormat/>
    <w:pPr/>
    <w:rPr/>
  </w:style>
  <w:style w:type="paragraph" w:styleId="LO-normal">
    <w:name w:val="LO-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t-BR" w:eastAsia="pt-BR" w:bidi="ar-SA"/>
    </w:rPr>
  </w:style>
  <w:style w:type="paragraph" w:styleId="Contedodatabela">
    <w:name w:val="Conteúdo da tabela"/>
    <w:basedOn w:val="Normal"/>
    <w:qFormat/>
    <w:pPr>
      <w:widowControl w:val="false"/>
      <w:suppressLineNumbers/>
    </w:pPr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table" w:default="1" w:styleId="9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17">
    <w:name w:val="Table Grid"/>
    <w:basedOn w:val="9"/>
    <w:uiPriority w:val="59"/>
    <w:qFormat/>
    <w:rPr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Table Normal"/>
    <w:uiPriority w:val="0"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oter" Target="footer2.xml"/><Relationship Id="rId5" Type="http://schemas.openxmlformats.org/officeDocument/2006/relationships/footer" Target="footer3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yGJnNbJI19Ny4qRGAE0D/Co5E6Q==">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Application>LibreOffice/7.6.6.3$Windows_X86_64 LibreOffice_project/d97b2716a9a4a2ce1391dee1765565ea469b0ae7</Application>
  <AppVersion>15.0000</AppVersion>
  <Pages>7</Pages>
  <Words>1943</Words>
  <Characters>11668</Characters>
  <CharactersWithSpaces>13561</CharactersWithSpaces>
  <Paragraphs>149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2024-03-11T20:19:00Z</dcterms:created>
  <dc:creator>Fabiano</dc:creator>
  <dc:description/>
  <dc:language>pt-BR</dc:language>
  <cp:lastModifiedBy/>
  <cp:lastPrinted>2024-07-09T10:54:52Z</cp:lastPrinted>
  <dcterms:modified xsi:type="dcterms:W3CDTF">2024-07-11T11:52:21Z</dcterms:modified>
  <cp:revision>101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D8DFA7E94B864894AE7A81ACBE0A5A90_12</vt:lpwstr>
  </property>
  <property fmtid="{D5CDD505-2E9C-101B-9397-08002B2CF9AE}" pid="3" name="KSOProductBuildVer">
    <vt:lpwstr>1046-12.2.0.16909</vt:lpwstr>
  </property>
</Properties>
</file>